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spacing w:line="480" w:lineRule="auto"/>
        <w:rPr>
          <w:rFonts w:ascii="华文中宋" w:hAnsi="华文中宋" w:eastAsia="华文中宋"/>
          <w:b/>
          <w:color w:val="auto"/>
          <w:sz w:val="72"/>
          <w:highlight w:val="none"/>
        </w:rPr>
      </w:pPr>
      <w:r>
        <w:rPr>
          <w:rFonts w:hint="eastAsia" w:ascii="黑体" w:eastAsia="黑体"/>
          <w:color w:val="auto"/>
          <w:szCs w:val="21"/>
          <w:highlight w:val="none"/>
        </w:rPr>
        <w:drawing>
          <wp:inline distT="0" distB="0" distL="0" distR="0">
            <wp:extent cx="1507490" cy="666750"/>
            <wp:effectExtent l="0" t="0" r="16510" b="0"/>
            <wp:docPr id="3" name="图片 3" descr="IMG_6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65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07881" cy="666750"/>
                    </a:xfrm>
                    <a:prstGeom prst="rect">
                      <a:avLst/>
                    </a:prstGeom>
                    <a:noFill/>
                    <a:ln>
                      <a:noFill/>
                    </a:ln>
                  </pic:spPr>
                </pic:pic>
              </a:graphicData>
            </a:graphic>
          </wp:inline>
        </w:drawing>
      </w:r>
    </w:p>
    <w:p>
      <w:pPr>
        <w:snapToGrid w:val="0"/>
        <w:spacing w:beforeLines="50"/>
        <w:rPr>
          <w:rFonts w:ascii="仿宋_GB2312" w:eastAsia="仿宋_GB2312"/>
          <w:b/>
          <w:color w:val="auto"/>
          <w:sz w:val="32"/>
          <w:highlight w:val="none"/>
        </w:rPr>
      </w:pPr>
    </w:p>
    <w:p>
      <w:pPr>
        <w:snapToGrid w:val="0"/>
        <w:spacing w:beforeLines="50"/>
        <w:rPr>
          <w:rFonts w:ascii="仿宋_GB2312" w:eastAsia="仿宋_GB2312"/>
          <w:b/>
          <w:color w:val="auto"/>
          <w:sz w:val="32"/>
          <w:highlight w:val="none"/>
        </w:rPr>
      </w:pPr>
    </w:p>
    <w:p>
      <w:pPr>
        <w:snapToGrid w:val="0"/>
        <w:spacing w:beforeLines="50"/>
        <w:jc w:val="center"/>
        <w:rPr>
          <w:rFonts w:ascii="仿宋_GB2312" w:eastAsia="仿宋_GB2312"/>
          <w:b/>
          <w:color w:val="auto"/>
          <w:sz w:val="44"/>
          <w:szCs w:val="44"/>
          <w:highlight w:val="none"/>
        </w:rPr>
      </w:pPr>
      <w:r>
        <w:rPr>
          <w:rFonts w:hint="eastAsia" w:ascii="仿宋_GB2312" w:eastAsia="仿宋_GB2312"/>
          <w:b/>
          <w:color w:val="auto"/>
          <w:sz w:val="44"/>
          <w:szCs w:val="44"/>
          <w:highlight w:val="none"/>
        </w:rPr>
        <w:t>政府采购服务公开招标项目</w:t>
      </w:r>
    </w:p>
    <w:p>
      <w:pPr>
        <w:snapToGrid w:val="0"/>
        <w:spacing w:beforeLines="50"/>
        <w:jc w:val="center"/>
        <w:rPr>
          <w:rFonts w:ascii="黑体" w:hAnsi="华文中宋" w:eastAsia="黑体" w:cs="华文中宋"/>
          <w:b/>
          <w:bCs/>
          <w:color w:val="auto"/>
          <w:sz w:val="72"/>
          <w:szCs w:val="72"/>
          <w:highlight w:val="none"/>
        </w:rPr>
      </w:pPr>
    </w:p>
    <w:p>
      <w:pPr>
        <w:snapToGrid w:val="0"/>
        <w:spacing w:beforeLines="50"/>
        <w:jc w:val="center"/>
        <w:rPr>
          <w:rFonts w:ascii="黑体" w:hAnsi="华文中宋" w:eastAsia="黑体" w:cs="华文中宋"/>
          <w:b/>
          <w:bCs/>
          <w:color w:val="auto"/>
          <w:sz w:val="72"/>
          <w:szCs w:val="72"/>
          <w:highlight w:val="none"/>
        </w:rPr>
      </w:pPr>
    </w:p>
    <w:p>
      <w:pPr>
        <w:snapToGrid w:val="0"/>
        <w:spacing w:beforeLines="50"/>
        <w:jc w:val="center"/>
        <w:rPr>
          <w:rFonts w:ascii="楷体_GB2312" w:eastAsia="楷体_GB2312"/>
          <w:b/>
          <w:color w:val="auto"/>
          <w:sz w:val="120"/>
          <w:szCs w:val="120"/>
          <w:highlight w:val="none"/>
        </w:rPr>
      </w:pPr>
      <w:r>
        <w:rPr>
          <w:rFonts w:hint="eastAsia" w:ascii="楷体_GB2312" w:eastAsia="楷体_GB2312"/>
          <w:b/>
          <w:color w:val="auto"/>
          <w:sz w:val="120"/>
          <w:szCs w:val="120"/>
          <w:highlight w:val="none"/>
        </w:rPr>
        <w:t>招 标 文 件</w:t>
      </w:r>
    </w:p>
    <w:p>
      <w:pPr>
        <w:spacing w:line="360" w:lineRule="auto"/>
        <w:rPr>
          <w:rFonts w:ascii="宋体" w:hAnsi="宋体"/>
          <w:color w:val="auto"/>
          <w:sz w:val="24"/>
          <w:highlight w:val="none"/>
        </w:rPr>
      </w:pPr>
    </w:p>
    <w:p>
      <w:pPr>
        <w:snapToGrid w:val="0"/>
        <w:spacing w:beforeLines="50"/>
        <w:jc w:val="center"/>
        <w:rPr>
          <w:rFonts w:ascii="仿宋_GB2312" w:eastAsia="仿宋_GB2312"/>
          <w:b/>
          <w:color w:val="auto"/>
          <w:sz w:val="44"/>
          <w:szCs w:val="44"/>
          <w:highlight w:val="none"/>
        </w:rPr>
      </w:pPr>
      <w:r>
        <w:rPr>
          <w:rFonts w:hint="eastAsia" w:ascii="仿宋_GB2312" w:eastAsia="仿宋_GB2312"/>
          <w:b/>
          <w:color w:val="auto"/>
          <w:sz w:val="44"/>
          <w:szCs w:val="44"/>
          <w:highlight w:val="none"/>
        </w:rPr>
        <w:t>项目编号：kp2020-00239（CLF0120JM00ZC33）</w:t>
      </w:r>
    </w:p>
    <w:p>
      <w:pPr>
        <w:snapToGrid w:val="0"/>
        <w:spacing w:line="360" w:lineRule="auto"/>
        <w:rPr>
          <w:rFonts w:ascii="仿宋_GB2312" w:eastAsia="仿宋_GB2312"/>
          <w:color w:val="auto"/>
          <w:sz w:val="32"/>
          <w:highlight w:val="none"/>
        </w:rPr>
      </w:pPr>
    </w:p>
    <w:p>
      <w:pPr>
        <w:spacing w:line="360" w:lineRule="auto"/>
        <w:rPr>
          <w:rFonts w:eastAsia="华文中宋"/>
          <w:color w:val="auto"/>
          <w:sz w:val="30"/>
          <w:highlight w:val="none"/>
        </w:rPr>
      </w:pPr>
    </w:p>
    <w:p>
      <w:pPr>
        <w:spacing w:line="360" w:lineRule="auto"/>
        <w:rPr>
          <w:rFonts w:eastAsia="华文中宋"/>
          <w:color w:val="auto"/>
          <w:sz w:val="30"/>
          <w:highlight w:val="none"/>
        </w:rPr>
      </w:pPr>
    </w:p>
    <w:p>
      <w:pPr>
        <w:spacing w:line="360" w:lineRule="auto"/>
        <w:rPr>
          <w:rFonts w:eastAsia="华文中宋"/>
          <w:color w:val="auto"/>
          <w:sz w:val="30"/>
          <w:highlight w:val="none"/>
        </w:rPr>
      </w:pPr>
    </w:p>
    <w:p>
      <w:pPr>
        <w:snapToGrid w:val="0"/>
        <w:spacing w:beforeLines="50"/>
        <w:jc w:val="center"/>
        <w:rPr>
          <w:rFonts w:ascii="仿宋_GB2312" w:eastAsia="仿宋_GB2312"/>
          <w:b/>
          <w:color w:val="auto"/>
          <w:sz w:val="44"/>
          <w:szCs w:val="44"/>
          <w:highlight w:val="none"/>
        </w:rPr>
      </w:pPr>
      <w:r>
        <w:rPr>
          <w:rFonts w:hint="eastAsia" w:ascii="仿宋_GB2312" w:eastAsia="仿宋_GB2312"/>
          <w:b/>
          <w:color w:val="auto"/>
          <w:sz w:val="44"/>
          <w:szCs w:val="44"/>
          <w:highlight w:val="none"/>
        </w:rPr>
        <w:t>开平市市场监督管理局</w:t>
      </w:r>
    </w:p>
    <w:p>
      <w:pPr>
        <w:snapToGrid w:val="0"/>
        <w:spacing w:beforeLines="50"/>
        <w:jc w:val="center"/>
        <w:rPr>
          <w:rFonts w:ascii="仿宋_GB2312" w:eastAsia="仿宋_GB2312"/>
          <w:b/>
          <w:color w:val="auto"/>
          <w:sz w:val="44"/>
          <w:szCs w:val="44"/>
          <w:highlight w:val="none"/>
        </w:rPr>
      </w:pPr>
      <w:r>
        <w:rPr>
          <w:rFonts w:hint="eastAsia" w:ascii="仿宋_GB2312" w:eastAsia="仿宋_GB2312"/>
          <w:b/>
          <w:color w:val="auto"/>
          <w:sz w:val="44"/>
          <w:szCs w:val="44"/>
          <w:highlight w:val="none"/>
        </w:rPr>
        <w:t>广东采联采购科技有限公司</w:t>
      </w:r>
    </w:p>
    <w:p>
      <w:pPr>
        <w:snapToGrid w:val="0"/>
        <w:spacing w:beforeLines="50"/>
        <w:jc w:val="center"/>
        <w:rPr>
          <w:rFonts w:ascii="仿宋_GB2312" w:eastAsia="仿宋_GB2312"/>
          <w:b/>
          <w:color w:val="auto"/>
          <w:sz w:val="44"/>
          <w:szCs w:val="44"/>
          <w:highlight w:val="none"/>
        </w:rPr>
        <w:sectPr>
          <w:headerReference r:id="rId5" w:type="first"/>
          <w:footerReference r:id="rId7" w:type="first"/>
          <w:headerReference r:id="rId3" w:type="default"/>
          <w:headerReference r:id="rId4" w:type="even"/>
          <w:footerReference r:id="rId6" w:type="even"/>
          <w:pgSz w:w="11906" w:h="16838"/>
          <w:pgMar w:top="1440" w:right="1466" w:bottom="1440" w:left="1800" w:header="567" w:footer="992" w:gutter="0"/>
          <w:cols w:space="720" w:num="1"/>
          <w:docGrid w:type="linesAndChars" w:linePitch="312" w:charSpace="0"/>
        </w:sectPr>
      </w:pPr>
      <w:r>
        <w:rPr>
          <w:rFonts w:hint="eastAsia" w:ascii="仿宋_GB2312" w:eastAsia="仿宋_GB2312"/>
          <w:b/>
          <w:color w:val="auto"/>
          <w:sz w:val="44"/>
          <w:szCs w:val="44"/>
          <w:highlight w:val="none"/>
          <w:u w:val="single"/>
        </w:rPr>
        <w:t>二○二○</w:t>
      </w:r>
      <w:r>
        <w:rPr>
          <w:rFonts w:hint="eastAsia" w:ascii="仿宋_GB2312" w:eastAsia="仿宋_GB2312"/>
          <w:b/>
          <w:color w:val="auto"/>
          <w:sz w:val="44"/>
          <w:szCs w:val="44"/>
          <w:highlight w:val="none"/>
        </w:rPr>
        <w:t>年</w:t>
      </w:r>
      <w:r>
        <w:rPr>
          <w:rFonts w:hint="eastAsia" w:ascii="仿宋_GB2312" w:eastAsia="仿宋_GB2312"/>
          <w:b/>
          <w:color w:val="auto"/>
          <w:sz w:val="44"/>
          <w:szCs w:val="44"/>
          <w:highlight w:val="none"/>
          <w:u w:val="single"/>
        </w:rPr>
        <w:t>四</w:t>
      </w:r>
      <w:r>
        <w:rPr>
          <w:rFonts w:ascii="仿宋_GB2312" w:eastAsia="仿宋_GB2312"/>
          <w:b/>
          <w:color w:val="auto"/>
          <w:sz w:val="44"/>
          <w:szCs w:val="44"/>
          <w:highlight w:val="none"/>
        </w:rPr>
        <w:t>月</w:t>
      </w:r>
    </w:p>
    <w:p>
      <w:pPr>
        <w:autoSpaceDE w:val="0"/>
        <w:autoSpaceDN w:val="0"/>
        <w:snapToGrid w:val="0"/>
        <w:spacing w:beforeLines="50" w:afterLines="50"/>
        <w:jc w:val="center"/>
        <w:rPr>
          <w:rFonts w:ascii="黑体" w:hAnsi="黑体" w:eastAsia="黑体"/>
          <w:b/>
          <w:color w:val="auto"/>
          <w:sz w:val="44"/>
          <w:szCs w:val="44"/>
          <w:highlight w:val="none"/>
        </w:rPr>
      </w:pPr>
      <w:r>
        <w:rPr>
          <w:rFonts w:hint="eastAsia" w:ascii="黑体" w:hAnsi="黑体" w:eastAsia="黑体"/>
          <w:b/>
          <w:color w:val="auto"/>
          <w:sz w:val="44"/>
          <w:szCs w:val="44"/>
          <w:highlight w:val="none"/>
        </w:rPr>
        <w:t>温馨提示！！！</w:t>
      </w:r>
    </w:p>
    <w:p>
      <w:pPr>
        <w:numPr>
          <w:ilvl w:val="0"/>
          <w:numId w:val="1"/>
        </w:numPr>
        <w:tabs>
          <w:tab w:val="left" w:pos="709"/>
        </w:tabs>
        <w:spacing w:line="360" w:lineRule="auto"/>
        <w:ind w:left="700" w:hanging="700"/>
        <w:rPr>
          <w:rFonts w:ascii="宋体" w:hAnsi="宋体"/>
          <w:color w:val="auto"/>
          <w:sz w:val="24"/>
          <w:highlight w:val="none"/>
        </w:rPr>
      </w:pPr>
      <w:r>
        <w:rPr>
          <w:rFonts w:hint="eastAsia" w:ascii="宋体" w:hAnsi="宋体"/>
          <w:bCs/>
          <w:color w:val="auto"/>
          <w:sz w:val="24"/>
          <w:highlight w:val="none"/>
        </w:rPr>
        <w:t>为响应政府部门对</w:t>
      </w:r>
      <w:r>
        <w:rPr>
          <w:rFonts w:ascii="宋体" w:hAnsi="宋体"/>
          <w:bCs/>
          <w:color w:val="auto"/>
          <w:sz w:val="24"/>
          <w:highlight w:val="none"/>
        </w:rPr>
        <w:t>新型冠状病毒感染的肺炎疫情</w:t>
      </w:r>
      <w:r>
        <w:rPr>
          <w:rFonts w:hint="eastAsia" w:ascii="宋体" w:hAnsi="宋体"/>
          <w:bCs/>
          <w:color w:val="auto"/>
          <w:sz w:val="24"/>
          <w:highlight w:val="none"/>
        </w:rPr>
        <w:t>防控的要求，在疫情期间，政府采购供应商提起质疑、询问，原则上采用邮寄方式提交书面纸质质疑函、询问函原件。供应商提交质疑函的，</w:t>
      </w:r>
      <w:r>
        <w:rPr>
          <w:rFonts w:ascii="宋体" w:hAnsi="宋体"/>
          <w:bCs/>
          <w:color w:val="auto"/>
          <w:sz w:val="24"/>
          <w:highlight w:val="none"/>
        </w:rPr>
        <w:t>交邮时间应</w:t>
      </w:r>
      <w:r>
        <w:rPr>
          <w:rFonts w:hint="eastAsia" w:ascii="宋体" w:hAnsi="宋体"/>
          <w:bCs/>
          <w:color w:val="auto"/>
          <w:sz w:val="24"/>
          <w:highlight w:val="none"/>
        </w:rPr>
        <w:t>为</w:t>
      </w:r>
      <w:r>
        <w:rPr>
          <w:rFonts w:ascii="宋体" w:hAnsi="宋体"/>
          <w:bCs/>
          <w:color w:val="auto"/>
          <w:sz w:val="24"/>
          <w:highlight w:val="none"/>
        </w:rPr>
        <w:t>本采购文件规定的质疑期限内</w:t>
      </w:r>
      <w:r>
        <w:rPr>
          <w:rFonts w:hint="eastAsia" w:ascii="宋体" w:hAnsi="宋体"/>
          <w:bCs/>
          <w:color w:val="auto"/>
          <w:sz w:val="24"/>
          <w:highlight w:val="none"/>
        </w:rPr>
        <w:t>。供应商可同时通过电子邮件方式提交书面质疑函、询问函，质疑、询问材料每页应加盖公章后扫描，以扫描件提交（邮寄地址、电子邮箱详见第四章投标人须知前附表）。</w:t>
      </w:r>
    </w:p>
    <w:p>
      <w:pPr>
        <w:numPr>
          <w:ilvl w:val="0"/>
          <w:numId w:val="1"/>
        </w:numPr>
        <w:tabs>
          <w:tab w:val="left" w:pos="709"/>
        </w:tabs>
        <w:spacing w:line="360" w:lineRule="auto"/>
        <w:ind w:left="700" w:hanging="700"/>
        <w:rPr>
          <w:rFonts w:ascii="宋体" w:hAnsi="宋体"/>
          <w:color w:val="auto"/>
          <w:sz w:val="24"/>
          <w:highlight w:val="none"/>
        </w:rPr>
      </w:pPr>
      <w:r>
        <w:rPr>
          <w:rFonts w:ascii="宋体" w:hAnsi="宋体"/>
          <w:bCs/>
          <w:color w:val="auto"/>
          <w:sz w:val="24"/>
          <w:highlight w:val="none"/>
        </w:rPr>
        <w:t>根据广东省财政厅政府采购监管处《关于做好供应商注册登记有关工作的通知》的要求，供应商应通过广东省政府采购网（www.gdgpo.gov.cn）进行注册登记（相关事宜详见广东省政府采购网《关于做好供应商注册登记有关工作的通知》）。</w:t>
      </w:r>
      <w:r>
        <w:rPr>
          <w:rFonts w:hint="eastAsia" w:ascii="宋体" w:hAnsi="宋体"/>
          <w:bCs/>
          <w:color w:val="auto"/>
          <w:sz w:val="24"/>
          <w:highlight w:val="none"/>
        </w:rPr>
        <w:t>（已注册的供应商无需再重新注册，但注册信息有变更的，应对注册信息进行变更）</w:t>
      </w:r>
    </w:p>
    <w:p>
      <w:pPr>
        <w:numPr>
          <w:ilvl w:val="0"/>
          <w:numId w:val="1"/>
        </w:numPr>
        <w:tabs>
          <w:tab w:val="left" w:pos="709"/>
        </w:tabs>
        <w:spacing w:line="360" w:lineRule="auto"/>
        <w:ind w:left="700" w:hanging="700"/>
        <w:rPr>
          <w:rFonts w:ascii="宋体" w:hAnsi="宋体"/>
          <w:color w:val="auto"/>
          <w:sz w:val="24"/>
          <w:highlight w:val="none"/>
        </w:rPr>
      </w:pPr>
      <w:r>
        <w:rPr>
          <w:rFonts w:hint="eastAsia" w:ascii="宋体" w:hAnsi="宋体"/>
          <w:color w:val="auto"/>
          <w:sz w:val="24"/>
          <w:highlight w:val="none"/>
        </w:rPr>
        <w:t>如无另行说明，投标文件递交时间为投标截止时间</w:t>
      </w:r>
      <w:r>
        <w:rPr>
          <w:rFonts w:hint="eastAsia" w:ascii="宋体" w:hAnsi="宋体"/>
          <w:b/>
          <w:color w:val="auto"/>
          <w:sz w:val="24"/>
          <w:highlight w:val="none"/>
          <w:u w:val="single"/>
        </w:rPr>
        <w:t>前30分钟</w:t>
      </w:r>
      <w:r>
        <w:rPr>
          <w:rFonts w:hint="eastAsia" w:ascii="宋体" w:hAnsi="宋体"/>
          <w:color w:val="auto"/>
          <w:sz w:val="24"/>
          <w:highlight w:val="none"/>
        </w:rPr>
        <w:t>内。</w:t>
      </w:r>
    </w:p>
    <w:p>
      <w:pPr>
        <w:numPr>
          <w:ilvl w:val="0"/>
          <w:numId w:val="1"/>
        </w:numPr>
        <w:tabs>
          <w:tab w:val="left" w:pos="709"/>
        </w:tabs>
        <w:spacing w:line="360" w:lineRule="auto"/>
        <w:ind w:left="700" w:hanging="700"/>
        <w:rPr>
          <w:rFonts w:ascii="宋体" w:hAnsi="宋体"/>
          <w:color w:val="auto"/>
          <w:sz w:val="24"/>
          <w:highlight w:val="none"/>
        </w:rPr>
      </w:pPr>
      <w:r>
        <w:rPr>
          <w:rFonts w:hint="eastAsia" w:ascii="宋体" w:hAnsi="宋体"/>
          <w:color w:val="auto"/>
          <w:sz w:val="24"/>
          <w:highlight w:val="none"/>
        </w:rPr>
        <w:t>本项目邀请投标人参加开标会议，请</w:t>
      </w:r>
      <w:r>
        <w:rPr>
          <w:rFonts w:hint="eastAsia" w:ascii="宋体" w:hAnsi="宋体"/>
          <w:b/>
          <w:color w:val="auto"/>
          <w:sz w:val="24"/>
          <w:highlight w:val="none"/>
        </w:rPr>
        <w:t>适当提前到达</w:t>
      </w:r>
      <w:r>
        <w:rPr>
          <w:rFonts w:hint="eastAsia" w:ascii="宋体" w:hAnsi="宋体"/>
          <w:color w:val="auto"/>
          <w:sz w:val="24"/>
          <w:highlight w:val="none"/>
        </w:rPr>
        <w:t>。</w:t>
      </w:r>
    </w:p>
    <w:p>
      <w:pPr>
        <w:numPr>
          <w:ilvl w:val="0"/>
          <w:numId w:val="1"/>
        </w:numPr>
        <w:tabs>
          <w:tab w:val="left" w:pos="709"/>
        </w:tabs>
        <w:spacing w:line="360" w:lineRule="auto"/>
        <w:ind w:left="700" w:hanging="700"/>
        <w:rPr>
          <w:rFonts w:ascii="宋体" w:hAnsi="宋体"/>
          <w:color w:val="auto"/>
          <w:sz w:val="24"/>
          <w:highlight w:val="none"/>
        </w:rPr>
      </w:pPr>
      <w:r>
        <w:rPr>
          <w:rFonts w:hint="eastAsia" w:ascii="宋体" w:hAnsi="宋体"/>
          <w:color w:val="auto"/>
          <w:sz w:val="24"/>
          <w:highlight w:val="none"/>
        </w:rPr>
        <w:t>投标文件应按顺序</w:t>
      </w:r>
      <w:r>
        <w:rPr>
          <w:rFonts w:hint="eastAsia" w:ascii="宋体" w:hAnsi="宋体"/>
          <w:b/>
          <w:color w:val="auto"/>
          <w:sz w:val="24"/>
          <w:highlight w:val="none"/>
        </w:rPr>
        <w:t>编制页码</w:t>
      </w:r>
      <w:r>
        <w:rPr>
          <w:rFonts w:hint="eastAsia" w:ascii="宋体" w:hAnsi="宋体"/>
          <w:color w:val="auto"/>
          <w:sz w:val="24"/>
          <w:highlight w:val="none"/>
        </w:rPr>
        <w:t>。</w:t>
      </w:r>
    </w:p>
    <w:p>
      <w:pPr>
        <w:numPr>
          <w:ilvl w:val="0"/>
          <w:numId w:val="1"/>
        </w:numPr>
        <w:tabs>
          <w:tab w:val="left" w:pos="709"/>
        </w:tabs>
        <w:spacing w:line="360" w:lineRule="auto"/>
        <w:ind w:left="700" w:hanging="700"/>
        <w:rPr>
          <w:rFonts w:ascii="宋体" w:hAnsi="宋体"/>
          <w:color w:val="auto"/>
          <w:sz w:val="24"/>
          <w:highlight w:val="none"/>
        </w:rPr>
      </w:pPr>
      <w:r>
        <w:rPr>
          <w:rFonts w:hint="eastAsia" w:ascii="宋体" w:hAnsi="宋体"/>
          <w:color w:val="auto"/>
          <w:sz w:val="24"/>
          <w:highlight w:val="none"/>
        </w:rPr>
        <w:t>请仔细检查投标文件是否已按招标文件要求</w:t>
      </w:r>
      <w:r>
        <w:rPr>
          <w:rFonts w:hint="eastAsia" w:ascii="宋体" w:hAnsi="宋体"/>
          <w:b/>
          <w:color w:val="auto"/>
          <w:sz w:val="24"/>
          <w:highlight w:val="none"/>
        </w:rPr>
        <w:t>盖章、签名、签署日期</w:t>
      </w:r>
      <w:r>
        <w:rPr>
          <w:rFonts w:hint="eastAsia" w:ascii="宋体" w:hAnsi="宋体"/>
          <w:color w:val="auto"/>
          <w:sz w:val="24"/>
          <w:highlight w:val="none"/>
        </w:rPr>
        <w:t>。</w:t>
      </w:r>
    </w:p>
    <w:p>
      <w:pPr>
        <w:numPr>
          <w:ilvl w:val="0"/>
          <w:numId w:val="1"/>
        </w:numPr>
        <w:tabs>
          <w:tab w:val="left" w:pos="709"/>
        </w:tabs>
        <w:spacing w:line="360" w:lineRule="auto"/>
        <w:ind w:left="700" w:hanging="700"/>
        <w:rPr>
          <w:rFonts w:ascii="宋体" w:hAnsi="宋体"/>
          <w:color w:val="auto"/>
          <w:sz w:val="24"/>
          <w:highlight w:val="none"/>
        </w:rPr>
      </w:pPr>
      <w:r>
        <w:rPr>
          <w:rFonts w:hint="eastAsia" w:ascii="宋体" w:hAnsi="宋体"/>
          <w:color w:val="auto"/>
          <w:sz w:val="24"/>
          <w:highlight w:val="none"/>
        </w:rPr>
        <w:t>请正确填写《开标一览表（报价表）》、《投标分项报价表》(如有)。多包组项目请仔细检查包组号，包组号与包组采购内容必须对应。</w:t>
      </w:r>
    </w:p>
    <w:p>
      <w:pPr>
        <w:numPr>
          <w:ilvl w:val="0"/>
          <w:numId w:val="1"/>
        </w:numPr>
        <w:tabs>
          <w:tab w:val="left" w:pos="709"/>
        </w:tabs>
        <w:spacing w:line="360" w:lineRule="auto"/>
        <w:ind w:left="700" w:hanging="700"/>
        <w:rPr>
          <w:rFonts w:ascii="宋体" w:hAnsi="宋体"/>
          <w:color w:val="auto"/>
          <w:sz w:val="24"/>
          <w:highlight w:val="none"/>
        </w:rPr>
      </w:pPr>
      <w:r>
        <w:rPr>
          <w:rFonts w:hint="eastAsia" w:ascii="宋体" w:hAnsi="宋体"/>
          <w:color w:val="auto"/>
          <w:sz w:val="24"/>
          <w:highlight w:val="none"/>
        </w:rPr>
        <w:t>如投标产品属于许可证管理范围内的，须提交相应的许可证复印件。</w:t>
      </w:r>
    </w:p>
    <w:p>
      <w:pPr>
        <w:numPr>
          <w:ilvl w:val="0"/>
          <w:numId w:val="1"/>
        </w:numPr>
        <w:tabs>
          <w:tab w:val="left" w:pos="709"/>
        </w:tabs>
        <w:spacing w:line="360" w:lineRule="auto"/>
        <w:ind w:left="700" w:hanging="700"/>
        <w:rPr>
          <w:rFonts w:ascii="宋体" w:hAnsi="宋体"/>
          <w:color w:val="auto"/>
          <w:sz w:val="24"/>
          <w:highlight w:val="none"/>
        </w:rPr>
      </w:pPr>
      <w:r>
        <w:rPr>
          <w:rFonts w:hint="eastAsia" w:ascii="宋体" w:hAnsi="宋体" w:cs="宋体"/>
          <w:color w:val="auto"/>
          <w:sz w:val="24"/>
          <w:highlight w:val="none"/>
        </w:rPr>
        <w:t>分支机构投标，须取得</w:t>
      </w:r>
      <w:r>
        <w:rPr>
          <w:rFonts w:hint="eastAsia" w:ascii="宋体" w:hAnsi="宋体" w:cs="黑体"/>
          <w:color w:val="auto"/>
          <w:sz w:val="24"/>
          <w:highlight w:val="none"/>
        </w:rPr>
        <w:t>具有法人资格的总公司</w:t>
      </w:r>
      <w:r>
        <w:rPr>
          <w:rStyle w:val="23"/>
          <w:rFonts w:hint="eastAsia" w:ascii="宋体" w:hAnsi="宋体"/>
          <w:color w:val="auto"/>
          <w:sz w:val="24"/>
          <w:szCs w:val="24"/>
          <w:highlight w:val="none"/>
        </w:rPr>
        <w:t>（总所）</w:t>
      </w:r>
      <w:r>
        <w:rPr>
          <w:rFonts w:hint="eastAsia" w:ascii="宋体" w:hAnsi="宋体" w:cs="黑体"/>
          <w:color w:val="auto"/>
          <w:sz w:val="24"/>
          <w:highlight w:val="none"/>
        </w:rPr>
        <w:t>出具给分支机构的授权书，并提供总公司</w:t>
      </w:r>
      <w:r>
        <w:rPr>
          <w:rStyle w:val="23"/>
          <w:rFonts w:hint="eastAsia" w:ascii="宋体" w:hAnsi="宋体"/>
          <w:color w:val="auto"/>
          <w:sz w:val="24"/>
          <w:szCs w:val="24"/>
          <w:highlight w:val="none"/>
        </w:rPr>
        <w:t>（总所）</w:t>
      </w:r>
      <w:r>
        <w:rPr>
          <w:rFonts w:hint="eastAsia" w:ascii="宋体" w:hAnsi="宋体" w:cs="黑体"/>
          <w:color w:val="auto"/>
          <w:sz w:val="24"/>
          <w:highlight w:val="none"/>
        </w:rPr>
        <w:t>和分支机构的营业执照（执业许可证）复印件。</w:t>
      </w:r>
      <w:r>
        <w:rPr>
          <w:rStyle w:val="23"/>
          <w:rFonts w:hint="eastAsia" w:ascii="宋体" w:hAnsi="宋体"/>
          <w:color w:val="auto"/>
          <w:sz w:val="24"/>
          <w:szCs w:val="24"/>
          <w:highlight w:val="none"/>
        </w:rPr>
        <w:t>已由总公司（总所）授权的，总公司（总所）取得的相关资质证书对分支机构有效，法律法规或者行业另有规定的除外。</w:t>
      </w:r>
    </w:p>
    <w:p>
      <w:pPr>
        <w:numPr>
          <w:ilvl w:val="0"/>
          <w:numId w:val="1"/>
        </w:numPr>
        <w:tabs>
          <w:tab w:val="left" w:pos="709"/>
        </w:tabs>
        <w:spacing w:line="360" w:lineRule="auto"/>
        <w:ind w:left="700" w:hanging="700"/>
        <w:rPr>
          <w:rFonts w:ascii="宋体" w:hAnsi="宋体"/>
          <w:color w:val="auto"/>
          <w:sz w:val="24"/>
          <w:highlight w:val="none"/>
        </w:rPr>
      </w:pPr>
      <w:r>
        <w:rPr>
          <w:rFonts w:ascii="宋体" w:hAnsi="宋体"/>
          <w:color w:val="auto"/>
          <w:sz w:val="24"/>
          <w:highlight w:val="none"/>
        </w:rPr>
        <w:t>递交投标文件前请仔细检查投标文件是否已胶装成册、已密封完好。</w:t>
      </w:r>
    </w:p>
    <w:p>
      <w:pPr>
        <w:numPr>
          <w:ilvl w:val="0"/>
          <w:numId w:val="1"/>
        </w:numPr>
        <w:tabs>
          <w:tab w:val="left" w:pos="709"/>
        </w:tabs>
        <w:snapToGrid w:val="0"/>
        <w:spacing w:line="400" w:lineRule="exact"/>
        <w:ind w:left="700" w:hanging="700"/>
        <w:rPr>
          <w:rFonts w:ascii="宋体" w:hAnsi="宋体"/>
          <w:color w:val="auto"/>
          <w:sz w:val="24"/>
          <w:highlight w:val="none"/>
        </w:rPr>
      </w:pPr>
      <w:r>
        <w:rPr>
          <w:rFonts w:hint="eastAsia" w:ascii="宋体" w:hAnsi="宋体"/>
          <w:color w:val="auto"/>
          <w:sz w:val="24"/>
          <w:highlight w:val="none"/>
        </w:rPr>
        <w:t>投标人如需对项目提出询问或质疑，应按招标文件附件中的询问函和质疑函的格式提交。</w:t>
      </w:r>
    </w:p>
    <w:p>
      <w:pPr>
        <w:numPr>
          <w:ilvl w:val="0"/>
          <w:numId w:val="1"/>
        </w:numPr>
        <w:tabs>
          <w:tab w:val="left" w:pos="709"/>
        </w:tabs>
        <w:snapToGrid w:val="0"/>
        <w:spacing w:line="400" w:lineRule="exact"/>
        <w:ind w:left="851" w:hanging="851"/>
        <w:rPr>
          <w:rFonts w:ascii="宋体" w:hAnsi="宋体"/>
          <w:color w:val="auto"/>
          <w:sz w:val="24"/>
          <w:highlight w:val="none"/>
        </w:rPr>
      </w:pPr>
      <w:r>
        <w:rPr>
          <w:rFonts w:hint="eastAsia" w:ascii="宋体" w:hAnsi="宋体"/>
          <w:color w:val="auto"/>
          <w:sz w:val="24"/>
          <w:highlight w:val="none"/>
        </w:rPr>
        <w:t>投标文件建议采用A4纸、双面打印、胶装。多包组项目如投标人同时投标多个包组的，建议每个包组分别装订。</w:t>
      </w:r>
    </w:p>
    <w:p>
      <w:pPr>
        <w:numPr>
          <w:ilvl w:val="0"/>
          <w:numId w:val="1"/>
        </w:numPr>
        <w:tabs>
          <w:tab w:val="left" w:pos="709"/>
        </w:tabs>
        <w:spacing w:line="360" w:lineRule="auto"/>
        <w:ind w:left="700" w:hanging="700"/>
        <w:rPr>
          <w:rFonts w:ascii="宋体" w:hAnsi="宋体"/>
          <w:color w:val="auto"/>
          <w:sz w:val="24"/>
          <w:highlight w:val="none"/>
        </w:rPr>
      </w:pPr>
      <w:r>
        <w:rPr>
          <w:rFonts w:hint="eastAsia" w:ascii="宋体" w:hAnsi="宋体"/>
          <w:color w:val="auto"/>
          <w:sz w:val="24"/>
          <w:highlight w:val="none"/>
        </w:rPr>
        <w:t>上述提示内容非招标文件的组成部分，仅为善意提醒。如有不一致的地方，以招标文件为准。</w:t>
      </w:r>
    </w:p>
    <w:p>
      <w:pPr>
        <w:spacing w:line="360" w:lineRule="auto"/>
        <w:jc w:val="center"/>
        <w:rPr>
          <w:rFonts w:ascii="宋体" w:hAnsi="宋体"/>
          <w:b/>
          <w:color w:val="auto"/>
          <w:sz w:val="24"/>
          <w:highlight w:val="none"/>
        </w:rPr>
      </w:pPr>
      <w:r>
        <w:rPr>
          <w:rFonts w:ascii="宋体" w:hAnsi="宋体"/>
          <w:color w:val="auto"/>
          <w:sz w:val="24"/>
          <w:highlight w:val="none"/>
        </w:rPr>
        <w:br w:type="page"/>
      </w:r>
      <w:bookmarkStart w:id="0" w:name="_Toc292267790"/>
      <w:bookmarkStart w:id="1" w:name="_Toc435115363"/>
      <w:bookmarkStart w:id="2" w:name="_Toc435114676"/>
      <w:bookmarkStart w:id="3" w:name="_Toc435115051"/>
    </w:p>
    <w:p>
      <w:pPr>
        <w:spacing w:line="360" w:lineRule="auto"/>
        <w:jc w:val="center"/>
        <w:rPr>
          <w:rFonts w:ascii="宋体" w:hAnsi="宋体"/>
          <w:b/>
          <w:color w:val="auto"/>
          <w:sz w:val="44"/>
          <w:szCs w:val="44"/>
          <w:highlight w:val="none"/>
        </w:rPr>
      </w:pPr>
      <w:r>
        <w:rPr>
          <w:rFonts w:hint="eastAsia" w:ascii="宋体" w:hAnsi="宋体"/>
          <w:b/>
          <w:color w:val="auto"/>
          <w:sz w:val="44"/>
          <w:szCs w:val="44"/>
          <w:highlight w:val="none"/>
        </w:rPr>
        <w:t>目   录</w:t>
      </w:r>
    </w:p>
    <w:bookmarkEnd w:id="0"/>
    <w:bookmarkEnd w:id="1"/>
    <w:bookmarkEnd w:id="2"/>
    <w:p>
      <w:pPr>
        <w:pStyle w:val="12"/>
        <w:tabs>
          <w:tab w:val="right" w:leader="dot" w:pos="10064"/>
        </w:tabs>
        <w:rPr>
          <w:color w:val="auto"/>
          <w:sz w:val="24"/>
          <w:szCs w:val="24"/>
          <w:highlight w:val="none"/>
        </w:rPr>
      </w:pPr>
      <w:bookmarkStart w:id="4" w:name="_Toc435514842"/>
      <w:r>
        <w:rPr>
          <w:rFonts w:asciiTheme="minorEastAsia" w:hAnsiTheme="minorEastAsia" w:eastAsiaTheme="minorEastAsia"/>
          <w:bCs w:val="0"/>
          <w:caps w:val="0"/>
          <w:color w:val="auto"/>
          <w:sz w:val="32"/>
          <w:szCs w:val="32"/>
          <w:highlight w:val="none"/>
        </w:rPr>
        <w:fldChar w:fldCharType="begin"/>
      </w:r>
      <w:r>
        <w:rPr>
          <w:rFonts w:asciiTheme="minorEastAsia" w:hAnsiTheme="minorEastAsia" w:eastAsiaTheme="minorEastAsia"/>
          <w:bCs w:val="0"/>
          <w:caps w:val="0"/>
          <w:color w:val="auto"/>
          <w:sz w:val="32"/>
          <w:szCs w:val="32"/>
          <w:highlight w:val="none"/>
        </w:rPr>
        <w:instrText xml:space="preserve"> TOC \o "1-3" \h \z \u </w:instrText>
      </w:r>
      <w:r>
        <w:rPr>
          <w:rFonts w:asciiTheme="minorEastAsia" w:hAnsiTheme="minorEastAsia" w:eastAsiaTheme="minorEastAsia"/>
          <w:bCs w:val="0"/>
          <w:caps w:val="0"/>
          <w:color w:val="auto"/>
          <w:sz w:val="32"/>
          <w:szCs w:val="32"/>
          <w:highlight w:val="none"/>
        </w:rPr>
        <w:fldChar w:fldCharType="separate"/>
      </w:r>
      <w:r>
        <w:rPr>
          <w:color w:val="auto"/>
          <w:highlight w:val="none"/>
        </w:rPr>
        <w:fldChar w:fldCharType="begin"/>
      </w:r>
      <w:r>
        <w:rPr>
          <w:color w:val="auto"/>
          <w:highlight w:val="none"/>
        </w:rPr>
        <w:instrText xml:space="preserve"> HYPERLINK \l "_Toc5237" </w:instrText>
      </w:r>
      <w:r>
        <w:rPr>
          <w:color w:val="auto"/>
          <w:highlight w:val="none"/>
        </w:rPr>
        <w:fldChar w:fldCharType="separate"/>
      </w:r>
      <w:r>
        <w:rPr>
          <w:rFonts w:hint="eastAsia"/>
          <w:color w:val="auto"/>
          <w:sz w:val="24"/>
          <w:szCs w:val="24"/>
          <w:highlight w:val="none"/>
        </w:rPr>
        <w:t>第一</w:t>
      </w:r>
      <w:r>
        <w:rPr>
          <w:color w:val="auto"/>
          <w:sz w:val="24"/>
          <w:szCs w:val="24"/>
          <w:highlight w:val="none"/>
        </w:rPr>
        <w:t>章投标邀请</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_Toc5237 </w:instrText>
      </w:r>
      <w:r>
        <w:rPr>
          <w:color w:val="auto"/>
          <w:sz w:val="24"/>
          <w:szCs w:val="24"/>
          <w:highlight w:val="none"/>
        </w:rPr>
        <w:fldChar w:fldCharType="separate"/>
      </w:r>
      <w:r>
        <w:rPr>
          <w:color w:val="auto"/>
          <w:sz w:val="24"/>
          <w:szCs w:val="24"/>
          <w:highlight w:val="none"/>
        </w:rPr>
        <w:t>4</w:t>
      </w:r>
      <w:r>
        <w:rPr>
          <w:color w:val="auto"/>
          <w:sz w:val="24"/>
          <w:szCs w:val="24"/>
          <w:highlight w:val="none"/>
        </w:rPr>
        <w:fldChar w:fldCharType="end"/>
      </w:r>
      <w:r>
        <w:rPr>
          <w:color w:val="auto"/>
          <w:sz w:val="24"/>
          <w:szCs w:val="24"/>
          <w:highlight w:val="none"/>
        </w:rPr>
        <w:fldChar w:fldCharType="end"/>
      </w:r>
    </w:p>
    <w:p>
      <w:pPr>
        <w:pStyle w:val="12"/>
        <w:tabs>
          <w:tab w:val="right" w:leader="dot" w:pos="10064"/>
        </w:tabs>
        <w:rPr>
          <w:color w:val="auto"/>
          <w:sz w:val="24"/>
          <w:szCs w:val="24"/>
          <w:highlight w:val="none"/>
        </w:rPr>
      </w:pPr>
      <w:r>
        <w:rPr>
          <w:color w:val="auto"/>
          <w:highlight w:val="none"/>
        </w:rPr>
        <w:fldChar w:fldCharType="begin"/>
      </w:r>
      <w:r>
        <w:rPr>
          <w:color w:val="auto"/>
          <w:highlight w:val="none"/>
        </w:rPr>
        <w:instrText xml:space="preserve"> HYPERLINK \l "_Toc10746" </w:instrText>
      </w:r>
      <w:r>
        <w:rPr>
          <w:color w:val="auto"/>
          <w:highlight w:val="none"/>
        </w:rPr>
        <w:fldChar w:fldCharType="separate"/>
      </w:r>
      <w:r>
        <w:rPr>
          <w:rFonts w:hint="eastAsia"/>
          <w:color w:val="auto"/>
          <w:sz w:val="24"/>
          <w:szCs w:val="24"/>
          <w:highlight w:val="none"/>
        </w:rPr>
        <w:t>第二章 采购需求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_Toc10746 </w:instrText>
      </w:r>
      <w:r>
        <w:rPr>
          <w:color w:val="auto"/>
          <w:sz w:val="24"/>
          <w:szCs w:val="24"/>
          <w:highlight w:val="none"/>
        </w:rPr>
        <w:fldChar w:fldCharType="separate"/>
      </w:r>
      <w:r>
        <w:rPr>
          <w:color w:val="auto"/>
          <w:sz w:val="24"/>
          <w:szCs w:val="24"/>
          <w:highlight w:val="none"/>
        </w:rPr>
        <w:t>8</w:t>
      </w:r>
      <w:r>
        <w:rPr>
          <w:color w:val="auto"/>
          <w:sz w:val="24"/>
          <w:szCs w:val="24"/>
          <w:highlight w:val="none"/>
        </w:rPr>
        <w:fldChar w:fldCharType="end"/>
      </w:r>
      <w:r>
        <w:rPr>
          <w:color w:val="auto"/>
          <w:sz w:val="24"/>
          <w:szCs w:val="24"/>
          <w:highlight w:val="none"/>
        </w:rPr>
        <w:fldChar w:fldCharType="end"/>
      </w:r>
    </w:p>
    <w:p>
      <w:pPr>
        <w:pStyle w:val="12"/>
        <w:tabs>
          <w:tab w:val="right" w:leader="dot" w:pos="10064"/>
        </w:tabs>
        <w:rPr>
          <w:color w:val="auto"/>
          <w:sz w:val="24"/>
          <w:szCs w:val="24"/>
          <w:highlight w:val="none"/>
        </w:rPr>
      </w:pPr>
      <w:r>
        <w:rPr>
          <w:color w:val="auto"/>
          <w:highlight w:val="none"/>
        </w:rPr>
        <w:fldChar w:fldCharType="begin"/>
      </w:r>
      <w:r>
        <w:rPr>
          <w:color w:val="auto"/>
          <w:highlight w:val="none"/>
        </w:rPr>
        <w:instrText xml:space="preserve"> HYPERLINK \l "_Toc32510" </w:instrText>
      </w:r>
      <w:r>
        <w:rPr>
          <w:color w:val="auto"/>
          <w:highlight w:val="none"/>
        </w:rPr>
        <w:fldChar w:fldCharType="separate"/>
      </w:r>
      <w:r>
        <w:rPr>
          <w:rFonts w:hint="eastAsia"/>
          <w:color w:val="auto"/>
          <w:sz w:val="24"/>
          <w:szCs w:val="24"/>
          <w:highlight w:val="none"/>
        </w:rPr>
        <w:t>第三章 评标方法和标准</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_Toc32510 </w:instrText>
      </w:r>
      <w:r>
        <w:rPr>
          <w:color w:val="auto"/>
          <w:sz w:val="24"/>
          <w:szCs w:val="24"/>
          <w:highlight w:val="none"/>
        </w:rPr>
        <w:fldChar w:fldCharType="separate"/>
      </w:r>
      <w:r>
        <w:rPr>
          <w:color w:val="auto"/>
          <w:sz w:val="24"/>
          <w:szCs w:val="24"/>
          <w:highlight w:val="none"/>
        </w:rPr>
        <w:t>17</w:t>
      </w:r>
      <w:r>
        <w:rPr>
          <w:color w:val="auto"/>
          <w:sz w:val="24"/>
          <w:szCs w:val="24"/>
          <w:highlight w:val="none"/>
        </w:rPr>
        <w:fldChar w:fldCharType="end"/>
      </w:r>
      <w:r>
        <w:rPr>
          <w:color w:val="auto"/>
          <w:sz w:val="24"/>
          <w:szCs w:val="24"/>
          <w:highlight w:val="none"/>
        </w:rPr>
        <w:fldChar w:fldCharType="end"/>
      </w:r>
    </w:p>
    <w:p>
      <w:pPr>
        <w:pStyle w:val="12"/>
        <w:tabs>
          <w:tab w:val="right" w:leader="dot" w:pos="10064"/>
        </w:tabs>
        <w:rPr>
          <w:color w:val="auto"/>
          <w:sz w:val="24"/>
          <w:szCs w:val="24"/>
          <w:highlight w:val="none"/>
        </w:rPr>
      </w:pPr>
      <w:r>
        <w:rPr>
          <w:color w:val="auto"/>
          <w:highlight w:val="none"/>
        </w:rPr>
        <w:fldChar w:fldCharType="begin"/>
      </w:r>
      <w:r>
        <w:rPr>
          <w:color w:val="auto"/>
          <w:highlight w:val="none"/>
        </w:rPr>
        <w:instrText xml:space="preserve"> HYPERLINK \l "_Toc6566" </w:instrText>
      </w:r>
      <w:r>
        <w:rPr>
          <w:color w:val="auto"/>
          <w:highlight w:val="none"/>
        </w:rPr>
        <w:fldChar w:fldCharType="separate"/>
      </w:r>
      <w:r>
        <w:rPr>
          <w:color w:val="auto"/>
          <w:sz w:val="24"/>
          <w:szCs w:val="24"/>
          <w:highlight w:val="none"/>
        </w:rPr>
        <w:t>第</w:t>
      </w:r>
      <w:r>
        <w:rPr>
          <w:rFonts w:hint="eastAsia"/>
          <w:color w:val="auto"/>
          <w:sz w:val="24"/>
          <w:szCs w:val="24"/>
          <w:highlight w:val="none"/>
        </w:rPr>
        <w:t>四</w:t>
      </w:r>
      <w:r>
        <w:rPr>
          <w:color w:val="auto"/>
          <w:sz w:val="24"/>
          <w:szCs w:val="24"/>
          <w:highlight w:val="none"/>
        </w:rPr>
        <w:t>章投标人须知</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_Toc6566 </w:instrText>
      </w:r>
      <w:r>
        <w:rPr>
          <w:color w:val="auto"/>
          <w:sz w:val="24"/>
          <w:szCs w:val="24"/>
          <w:highlight w:val="none"/>
        </w:rPr>
        <w:fldChar w:fldCharType="separate"/>
      </w:r>
      <w:r>
        <w:rPr>
          <w:color w:val="auto"/>
          <w:sz w:val="24"/>
          <w:szCs w:val="24"/>
          <w:highlight w:val="none"/>
        </w:rPr>
        <w:t>33</w:t>
      </w:r>
      <w:r>
        <w:rPr>
          <w:color w:val="auto"/>
          <w:sz w:val="24"/>
          <w:szCs w:val="24"/>
          <w:highlight w:val="none"/>
        </w:rPr>
        <w:fldChar w:fldCharType="end"/>
      </w:r>
      <w:r>
        <w:rPr>
          <w:color w:val="auto"/>
          <w:sz w:val="24"/>
          <w:szCs w:val="24"/>
          <w:highlight w:val="none"/>
        </w:rPr>
        <w:fldChar w:fldCharType="end"/>
      </w:r>
    </w:p>
    <w:p>
      <w:pPr>
        <w:pStyle w:val="13"/>
        <w:tabs>
          <w:tab w:val="right" w:leader="dot" w:pos="10064"/>
        </w:tabs>
        <w:rPr>
          <w:color w:val="auto"/>
          <w:sz w:val="24"/>
          <w:szCs w:val="24"/>
          <w:highlight w:val="none"/>
        </w:rPr>
      </w:pPr>
      <w:r>
        <w:rPr>
          <w:color w:val="auto"/>
          <w:highlight w:val="none"/>
        </w:rPr>
        <w:fldChar w:fldCharType="begin"/>
      </w:r>
      <w:r>
        <w:rPr>
          <w:color w:val="auto"/>
          <w:highlight w:val="none"/>
        </w:rPr>
        <w:instrText xml:space="preserve"> HYPERLINK \l "_Toc11585" </w:instrText>
      </w:r>
      <w:r>
        <w:rPr>
          <w:color w:val="auto"/>
          <w:highlight w:val="none"/>
        </w:rPr>
        <w:fldChar w:fldCharType="separate"/>
      </w:r>
      <w:r>
        <w:rPr>
          <w:rFonts w:hint="eastAsia"/>
          <w:bCs/>
          <w:color w:val="auto"/>
          <w:sz w:val="24"/>
          <w:szCs w:val="24"/>
          <w:highlight w:val="none"/>
        </w:rPr>
        <w:t>第一部分 投标人须知前附表</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_Toc11585 </w:instrText>
      </w:r>
      <w:r>
        <w:rPr>
          <w:color w:val="auto"/>
          <w:sz w:val="24"/>
          <w:szCs w:val="24"/>
          <w:highlight w:val="none"/>
        </w:rPr>
        <w:fldChar w:fldCharType="separate"/>
      </w:r>
      <w:r>
        <w:rPr>
          <w:color w:val="auto"/>
          <w:sz w:val="24"/>
          <w:szCs w:val="24"/>
          <w:highlight w:val="none"/>
        </w:rPr>
        <w:t>33</w:t>
      </w:r>
      <w:r>
        <w:rPr>
          <w:color w:val="auto"/>
          <w:sz w:val="24"/>
          <w:szCs w:val="24"/>
          <w:highlight w:val="none"/>
        </w:rPr>
        <w:fldChar w:fldCharType="end"/>
      </w:r>
      <w:r>
        <w:rPr>
          <w:color w:val="auto"/>
          <w:sz w:val="24"/>
          <w:szCs w:val="24"/>
          <w:highlight w:val="none"/>
        </w:rPr>
        <w:fldChar w:fldCharType="end"/>
      </w:r>
    </w:p>
    <w:p>
      <w:pPr>
        <w:pStyle w:val="13"/>
        <w:tabs>
          <w:tab w:val="right" w:leader="dot" w:pos="10064"/>
        </w:tabs>
        <w:rPr>
          <w:color w:val="auto"/>
          <w:sz w:val="24"/>
          <w:szCs w:val="24"/>
          <w:highlight w:val="none"/>
        </w:rPr>
      </w:pPr>
      <w:r>
        <w:rPr>
          <w:color w:val="auto"/>
          <w:highlight w:val="none"/>
        </w:rPr>
        <w:fldChar w:fldCharType="begin"/>
      </w:r>
      <w:r>
        <w:rPr>
          <w:color w:val="auto"/>
          <w:highlight w:val="none"/>
        </w:rPr>
        <w:instrText xml:space="preserve"> HYPERLINK \l "_Toc30120" </w:instrText>
      </w:r>
      <w:r>
        <w:rPr>
          <w:color w:val="auto"/>
          <w:highlight w:val="none"/>
        </w:rPr>
        <w:fldChar w:fldCharType="separate"/>
      </w:r>
      <w:r>
        <w:rPr>
          <w:rFonts w:hint="eastAsia"/>
          <w:bCs/>
          <w:color w:val="auto"/>
          <w:sz w:val="24"/>
          <w:szCs w:val="24"/>
          <w:highlight w:val="none"/>
        </w:rPr>
        <w:t>第二部分 投标人须知通用条款</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_Toc30120 </w:instrText>
      </w:r>
      <w:r>
        <w:rPr>
          <w:color w:val="auto"/>
          <w:sz w:val="24"/>
          <w:szCs w:val="24"/>
          <w:highlight w:val="none"/>
        </w:rPr>
        <w:fldChar w:fldCharType="separate"/>
      </w:r>
      <w:r>
        <w:rPr>
          <w:color w:val="auto"/>
          <w:sz w:val="24"/>
          <w:szCs w:val="24"/>
          <w:highlight w:val="none"/>
        </w:rPr>
        <w:t>37</w:t>
      </w:r>
      <w:r>
        <w:rPr>
          <w:color w:val="auto"/>
          <w:sz w:val="24"/>
          <w:szCs w:val="24"/>
          <w:highlight w:val="none"/>
        </w:rPr>
        <w:fldChar w:fldCharType="end"/>
      </w:r>
      <w:r>
        <w:rPr>
          <w:color w:val="auto"/>
          <w:sz w:val="24"/>
          <w:szCs w:val="24"/>
          <w:highlight w:val="none"/>
        </w:rPr>
        <w:fldChar w:fldCharType="end"/>
      </w:r>
    </w:p>
    <w:p>
      <w:pPr>
        <w:pStyle w:val="7"/>
        <w:tabs>
          <w:tab w:val="right" w:leader="dot" w:pos="10064"/>
        </w:tabs>
        <w:rPr>
          <w:color w:val="auto"/>
          <w:sz w:val="24"/>
          <w:szCs w:val="24"/>
          <w:highlight w:val="none"/>
        </w:rPr>
      </w:pPr>
      <w:r>
        <w:rPr>
          <w:color w:val="auto"/>
          <w:highlight w:val="none"/>
        </w:rPr>
        <w:fldChar w:fldCharType="begin"/>
      </w:r>
      <w:r>
        <w:rPr>
          <w:color w:val="auto"/>
          <w:highlight w:val="none"/>
        </w:rPr>
        <w:instrText xml:space="preserve"> HYPERLINK \l "_Toc18684" </w:instrText>
      </w:r>
      <w:r>
        <w:rPr>
          <w:color w:val="auto"/>
          <w:highlight w:val="none"/>
        </w:rPr>
        <w:fldChar w:fldCharType="separate"/>
      </w:r>
      <w:r>
        <w:rPr>
          <w:rFonts w:hint="eastAsia" w:ascii="宋体" w:hAnsi="宋体"/>
          <w:color w:val="auto"/>
          <w:sz w:val="24"/>
          <w:szCs w:val="24"/>
          <w:highlight w:val="none"/>
        </w:rPr>
        <w:t>一、 总则</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_Toc18684 </w:instrText>
      </w:r>
      <w:r>
        <w:rPr>
          <w:color w:val="auto"/>
          <w:sz w:val="24"/>
          <w:szCs w:val="24"/>
          <w:highlight w:val="none"/>
        </w:rPr>
        <w:fldChar w:fldCharType="separate"/>
      </w:r>
      <w:r>
        <w:rPr>
          <w:color w:val="auto"/>
          <w:sz w:val="24"/>
          <w:szCs w:val="24"/>
          <w:highlight w:val="none"/>
        </w:rPr>
        <w:t>37</w:t>
      </w:r>
      <w:r>
        <w:rPr>
          <w:color w:val="auto"/>
          <w:sz w:val="24"/>
          <w:szCs w:val="24"/>
          <w:highlight w:val="none"/>
        </w:rPr>
        <w:fldChar w:fldCharType="end"/>
      </w:r>
      <w:r>
        <w:rPr>
          <w:color w:val="auto"/>
          <w:sz w:val="24"/>
          <w:szCs w:val="24"/>
          <w:highlight w:val="none"/>
        </w:rPr>
        <w:fldChar w:fldCharType="end"/>
      </w:r>
    </w:p>
    <w:p>
      <w:pPr>
        <w:pStyle w:val="7"/>
        <w:tabs>
          <w:tab w:val="right" w:leader="dot" w:pos="10064"/>
        </w:tabs>
        <w:rPr>
          <w:color w:val="auto"/>
          <w:sz w:val="24"/>
          <w:szCs w:val="24"/>
          <w:highlight w:val="none"/>
        </w:rPr>
      </w:pPr>
      <w:r>
        <w:rPr>
          <w:color w:val="auto"/>
          <w:highlight w:val="none"/>
        </w:rPr>
        <w:fldChar w:fldCharType="begin"/>
      </w:r>
      <w:r>
        <w:rPr>
          <w:color w:val="auto"/>
          <w:highlight w:val="none"/>
        </w:rPr>
        <w:instrText xml:space="preserve"> HYPERLINK \l "_Toc26327" </w:instrText>
      </w:r>
      <w:r>
        <w:rPr>
          <w:color w:val="auto"/>
          <w:highlight w:val="none"/>
        </w:rPr>
        <w:fldChar w:fldCharType="separate"/>
      </w:r>
      <w:r>
        <w:rPr>
          <w:rFonts w:hint="eastAsia" w:ascii="宋体" w:hAnsi="宋体"/>
          <w:color w:val="auto"/>
          <w:sz w:val="24"/>
          <w:szCs w:val="24"/>
          <w:highlight w:val="none"/>
          <w:lang w:eastAsia="zh-TW"/>
        </w:rPr>
        <w:t>二、 招标文件</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_Toc26327 </w:instrText>
      </w:r>
      <w:r>
        <w:rPr>
          <w:color w:val="auto"/>
          <w:sz w:val="24"/>
          <w:szCs w:val="24"/>
          <w:highlight w:val="none"/>
        </w:rPr>
        <w:fldChar w:fldCharType="separate"/>
      </w:r>
      <w:r>
        <w:rPr>
          <w:color w:val="auto"/>
          <w:sz w:val="24"/>
          <w:szCs w:val="24"/>
          <w:highlight w:val="none"/>
        </w:rPr>
        <w:t>38</w:t>
      </w:r>
      <w:r>
        <w:rPr>
          <w:color w:val="auto"/>
          <w:sz w:val="24"/>
          <w:szCs w:val="24"/>
          <w:highlight w:val="none"/>
        </w:rPr>
        <w:fldChar w:fldCharType="end"/>
      </w:r>
      <w:r>
        <w:rPr>
          <w:color w:val="auto"/>
          <w:sz w:val="24"/>
          <w:szCs w:val="24"/>
          <w:highlight w:val="none"/>
        </w:rPr>
        <w:fldChar w:fldCharType="end"/>
      </w:r>
    </w:p>
    <w:p>
      <w:pPr>
        <w:pStyle w:val="7"/>
        <w:tabs>
          <w:tab w:val="right" w:leader="dot" w:pos="10064"/>
        </w:tabs>
        <w:rPr>
          <w:color w:val="auto"/>
          <w:sz w:val="24"/>
          <w:szCs w:val="24"/>
          <w:highlight w:val="none"/>
        </w:rPr>
      </w:pPr>
      <w:r>
        <w:rPr>
          <w:color w:val="auto"/>
          <w:highlight w:val="none"/>
        </w:rPr>
        <w:fldChar w:fldCharType="begin"/>
      </w:r>
      <w:r>
        <w:rPr>
          <w:color w:val="auto"/>
          <w:highlight w:val="none"/>
        </w:rPr>
        <w:instrText xml:space="preserve"> HYPERLINK \l "_Toc11636" </w:instrText>
      </w:r>
      <w:r>
        <w:rPr>
          <w:color w:val="auto"/>
          <w:highlight w:val="none"/>
        </w:rPr>
        <w:fldChar w:fldCharType="separate"/>
      </w:r>
      <w:r>
        <w:rPr>
          <w:rFonts w:hint="eastAsia" w:ascii="宋体" w:hAnsi="宋体"/>
          <w:color w:val="auto"/>
          <w:sz w:val="24"/>
          <w:szCs w:val="24"/>
          <w:highlight w:val="none"/>
          <w:lang w:eastAsia="zh-TW"/>
        </w:rPr>
        <w:t>三、 投标文件的编制</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_Toc11636 </w:instrText>
      </w:r>
      <w:r>
        <w:rPr>
          <w:color w:val="auto"/>
          <w:sz w:val="24"/>
          <w:szCs w:val="24"/>
          <w:highlight w:val="none"/>
        </w:rPr>
        <w:fldChar w:fldCharType="separate"/>
      </w:r>
      <w:r>
        <w:rPr>
          <w:color w:val="auto"/>
          <w:sz w:val="24"/>
          <w:szCs w:val="24"/>
          <w:highlight w:val="none"/>
        </w:rPr>
        <w:t>39</w:t>
      </w:r>
      <w:r>
        <w:rPr>
          <w:color w:val="auto"/>
          <w:sz w:val="24"/>
          <w:szCs w:val="24"/>
          <w:highlight w:val="none"/>
        </w:rPr>
        <w:fldChar w:fldCharType="end"/>
      </w:r>
      <w:r>
        <w:rPr>
          <w:color w:val="auto"/>
          <w:sz w:val="24"/>
          <w:szCs w:val="24"/>
          <w:highlight w:val="none"/>
        </w:rPr>
        <w:fldChar w:fldCharType="end"/>
      </w:r>
    </w:p>
    <w:p>
      <w:pPr>
        <w:pStyle w:val="7"/>
        <w:tabs>
          <w:tab w:val="right" w:leader="dot" w:pos="10064"/>
        </w:tabs>
        <w:rPr>
          <w:color w:val="auto"/>
          <w:sz w:val="24"/>
          <w:szCs w:val="24"/>
          <w:highlight w:val="none"/>
        </w:rPr>
      </w:pPr>
      <w:r>
        <w:rPr>
          <w:color w:val="auto"/>
          <w:highlight w:val="none"/>
        </w:rPr>
        <w:fldChar w:fldCharType="begin"/>
      </w:r>
      <w:r>
        <w:rPr>
          <w:color w:val="auto"/>
          <w:highlight w:val="none"/>
        </w:rPr>
        <w:instrText xml:space="preserve"> HYPERLINK \l "_Toc516" </w:instrText>
      </w:r>
      <w:r>
        <w:rPr>
          <w:color w:val="auto"/>
          <w:highlight w:val="none"/>
        </w:rPr>
        <w:fldChar w:fldCharType="separate"/>
      </w:r>
      <w:r>
        <w:rPr>
          <w:rFonts w:hint="eastAsia" w:ascii="宋体" w:hAnsi="宋体"/>
          <w:color w:val="auto"/>
          <w:sz w:val="24"/>
          <w:szCs w:val="24"/>
          <w:highlight w:val="none"/>
          <w:lang w:eastAsia="zh-TW"/>
        </w:rPr>
        <w:t>四、 投标文件的递交</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_Toc516 </w:instrText>
      </w:r>
      <w:r>
        <w:rPr>
          <w:color w:val="auto"/>
          <w:sz w:val="24"/>
          <w:szCs w:val="24"/>
          <w:highlight w:val="none"/>
        </w:rPr>
        <w:fldChar w:fldCharType="separate"/>
      </w:r>
      <w:r>
        <w:rPr>
          <w:color w:val="auto"/>
          <w:sz w:val="24"/>
          <w:szCs w:val="24"/>
          <w:highlight w:val="none"/>
        </w:rPr>
        <w:t>42</w:t>
      </w:r>
      <w:r>
        <w:rPr>
          <w:color w:val="auto"/>
          <w:sz w:val="24"/>
          <w:szCs w:val="24"/>
          <w:highlight w:val="none"/>
        </w:rPr>
        <w:fldChar w:fldCharType="end"/>
      </w:r>
      <w:r>
        <w:rPr>
          <w:color w:val="auto"/>
          <w:sz w:val="24"/>
          <w:szCs w:val="24"/>
          <w:highlight w:val="none"/>
        </w:rPr>
        <w:fldChar w:fldCharType="end"/>
      </w:r>
    </w:p>
    <w:p>
      <w:pPr>
        <w:pStyle w:val="7"/>
        <w:tabs>
          <w:tab w:val="right" w:leader="dot" w:pos="10064"/>
        </w:tabs>
        <w:rPr>
          <w:color w:val="auto"/>
          <w:sz w:val="24"/>
          <w:szCs w:val="24"/>
          <w:highlight w:val="none"/>
        </w:rPr>
      </w:pPr>
      <w:r>
        <w:rPr>
          <w:color w:val="auto"/>
          <w:highlight w:val="none"/>
        </w:rPr>
        <w:fldChar w:fldCharType="begin"/>
      </w:r>
      <w:r>
        <w:rPr>
          <w:color w:val="auto"/>
          <w:highlight w:val="none"/>
        </w:rPr>
        <w:instrText xml:space="preserve"> HYPERLINK \l "_Toc12364" </w:instrText>
      </w:r>
      <w:r>
        <w:rPr>
          <w:color w:val="auto"/>
          <w:highlight w:val="none"/>
        </w:rPr>
        <w:fldChar w:fldCharType="separate"/>
      </w:r>
      <w:r>
        <w:rPr>
          <w:rFonts w:hint="eastAsia" w:ascii="宋体" w:hAnsi="宋体"/>
          <w:color w:val="auto"/>
          <w:sz w:val="24"/>
          <w:szCs w:val="24"/>
          <w:highlight w:val="none"/>
          <w:lang w:eastAsia="zh-TW"/>
        </w:rPr>
        <w:t>五、 开标、评标、定标与合同签订</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_Toc12364 </w:instrText>
      </w:r>
      <w:r>
        <w:rPr>
          <w:color w:val="auto"/>
          <w:sz w:val="24"/>
          <w:szCs w:val="24"/>
          <w:highlight w:val="none"/>
        </w:rPr>
        <w:fldChar w:fldCharType="separate"/>
      </w:r>
      <w:r>
        <w:rPr>
          <w:color w:val="auto"/>
          <w:sz w:val="24"/>
          <w:szCs w:val="24"/>
          <w:highlight w:val="none"/>
        </w:rPr>
        <w:t>42</w:t>
      </w:r>
      <w:r>
        <w:rPr>
          <w:color w:val="auto"/>
          <w:sz w:val="24"/>
          <w:szCs w:val="24"/>
          <w:highlight w:val="none"/>
        </w:rPr>
        <w:fldChar w:fldCharType="end"/>
      </w:r>
      <w:r>
        <w:rPr>
          <w:color w:val="auto"/>
          <w:sz w:val="24"/>
          <w:szCs w:val="24"/>
          <w:highlight w:val="none"/>
        </w:rPr>
        <w:fldChar w:fldCharType="end"/>
      </w:r>
    </w:p>
    <w:p>
      <w:pPr>
        <w:pStyle w:val="7"/>
        <w:tabs>
          <w:tab w:val="right" w:leader="dot" w:pos="10064"/>
        </w:tabs>
        <w:rPr>
          <w:color w:val="auto"/>
          <w:sz w:val="24"/>
          <w:szCs w:val="24"/>
          <w:highlight w:val="none"/>
        </w:rPr>
      </w:pPr>
      <w:r>
        <w:rPr>
          <w:color w:val="auto"/>
          <w:highlight w:val="none"/>
        </w:rPr>
        <w:fldChar w:fldCharType="begin"/>
      </w:r>
      <w:r>
        <w:rPr>
          <w:color w:val="auto"/>
          <w:highlight w:val="none"/>
        </w:rPr>
        <w:instrText xml:space="preserve"> HYPERLINK \l "_Toc29177" </w:instrText>
      </w:r>
      <w:r>
        <w:rPr>
          <w:color w:val="auto"/>
          <w:highlight w:val="none"/>
        </w:rPr>
        <w:fldChar w:fldCharType="separate"/>
      </w:r>
      <w:r>
        <w:rPr>
          <w:rFonts w:hint="eastAsia" w:ascii="宋体" w:hAnsi="宋体"/>
          <w:color w:val="auto"/>
          <w:sz w:val="24"/>
          <w:szCs w:val="24"/>
          <w:highlight w:val="none"/>
          <w:lang w:eastAsia="zh-TW"/>
        </w:rPr>
        <w:t>六、 询问、质疑与投诉</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_Toc29177 </w:instrText>
      </w:r>
      <w:r>
        <w:rPr>
          <w:color w:val="auto"/>
          <w:sz w:val="24"/>
          <w:szCs w:val="24"/>
          <w:highlight w:val="none"/>
        </w:rPr>
        <w:fldChar w:fldCharType="separate"/>
      </w:r>
      <w:r>
        <w:rPr>
          <w:color w:val="auto"/>
          <w:sz w:val="24"/>
          <w:szCs w:val="24"/>
          <w:highlight w:val="none"/>
        </w:rPr>
        <w:t>48</w:t>
      </w:r>
      <w:r>
        <w:rPr>
          <w:color w:val="auto"/>
          <w:sz w:val="24"/>
          <w:szCs w:val="24"/>
          <w:highlight w:val="none"/>
        </w:rPr>
        <w:fldChar w:fldCharType="end"/>
      </w:r>
      <w:r>
        <w:rPr>
          <w:color w:val="auto"/>
          <w:sz w:val="24"/>
          <w:szCs w:val="24"/>
          <w:highlight w:val="none"/>
        </w:rPr>
        <w:fldChar w:fldCharType="end"/>
      </w:r>
    </w:p>
    <w:p>
      <w:pPr>
        <w:pStyle w:val="12"/>
        <w:tabs>
          <w:tab w:val="right" w:leader="dot" w:pos="10064"/>
        </w:tabs>
        <w:rPr>
          <w:color w:val="auto"/>
          <w:sz w:val="24"/>
          <w:szCs w:val="24"/>
          <w:highlight w:val="none"/>
        </w:rPr>
      </w:pPr>
      <w:r>
        <w:rPr>
          <w:color w:val="auto"/>
          <w:highlight w:val="none"/>
        </w:rPr>
        <w:fldChar w:fldCharType="begin"/>
      </w:r>
      <w:r>
        <w:rPr>
          <w:color w:val="auto"/>
          <w:highlight w:val="none"/>
        </w:rPr>
        <w:instrText xml:space="preserve"> HYPERLINK \l "_Toc5654" </w:instrText>
      </w:r>
      <w:r>
        <w:rPr>
          <w:color w:val="auto"/>
          <w:highlight w:val="none"/>
        </w:rPr>
        <w:fldChar w:fldCharType="separate"/>
      </w:r>
      <w:r>
        <w:rPr>
          <w:rFonts w:hint="eastAsia"/>
          <w:color w:val="auto"/>
          <w:sz w:val="24"/>
          <w:szCs w:val="24"/>
          <w:highlight w:val="none"/>
        </w:rPr>
        <w:t>第五章 合同格式条款</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_Toc5654 </w:instrText>
      </w:r>
      <w:r>
        <w:rPr>
          <w:color w:val="auto"/>
          <w:sz w:val="24"/>
          <w:szCs w:val="24"/>
          <w:highlight w:val="none"/>
        </w:rPr>
        <w:fldChar w:fldCharType="separate"/>
      </w:r>
      <w:r>
        <w:rPr>
          <w:color w:val="auto"/>
          <w:sz w:val="24"/>
          <w:szCs w:val="24"/>
          <w:highlight w:val="none"/>
        </w:rPr>
        <w:t>53</w:t>
      </w:r>
      <w:r>
        <w:rPr>
          <w:color w:val="auto"/>
          <w:sz w:val="24"/>
          <w:szCs w:val="24"/>
          <w:highlight w:val="none"/>
        </w:rPr>
        <w:fldChar w:fldCharType="end"/>
      </w:r>
      <w:r>
        <w:rPr>
          <w:color w:val="auto"/>
          <w:sz w:val="24"/>
          <w:szCs w:val="24"/>
          <w:highlight w:val="none"/>
        </w:rPr>
        <w:fldChar w:fldCharType="end"/>
      </w:r>
    </w:p>
    <w:p>
      <w:pPr>
        <w:pStyle w:val="12"/>
        <w:tabs>
          <w:tab w:val="right" w:leader="dot" w:pos="10064"/>
        </w:tabs>
        <w:rPr>
          <w:color w:val="auto"/>
          <w:highlight w:val="none"/>
        </w:rPr>
      </w:pPr>
      <w:r>
        <w:rPr>
          <w:color w:val="auto"/>
          <w:highlight w:val="none"/>
        </w:rPr>
        <w:fldChar w:fldCharType="begin"/>
      </w:r>
      <w:r>
        <w:rPr>
          <w:color w:val="auto"/>
          <w:highlight w:val="none"/>
        </w:rPr>
        <w:instrText xml:space="preserve"> HYPERLINK \l "_Toc16963" </w:instrText>
      </w:r>
      <w:r>
        <w:rPr>
          <w:color w:val="auto"/>
          <w:highlight w:val="none"/>
        </w:rPr>
        <w:fldChar w:fldCharType="separate"/>
      </w:r>
      <w:r>
        <w:rPr>
          <w:rFonts w:hint="eastAsia"/>
          <w:color w:val="auto"/>
          <w:sz w:val="24"/>
          <w:szCs w:val="24"/>
          <w:highlight w:val="none"/>
        </w:rPr>
        <w:t>第六章 投标文件格式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_Toc16963 </w:instrText>
      </w:r>
      <w:r>
        <w:rPr>
          <w:color w:val="auto"/>
          <w:sz w:val="24"/>
          <w:szCs w:val="24"/>
          <w:highlight w:val="none"/>
        </w:rPr>
        <w:fldChar w:fldCharType="separate"/>
      </w:r>
      <w:r>
        <w:rPr>
          <w:color w:val="auto"/>
          <w:sz w:val="24"/>
          <w:szCs w:val="24"/>
          <w:highlight w:val="none"/>
        </w:rPr>
        <w:t>61</w:t>
      </w:r>
      <w:r>
        <w:rPr>
          <w:color w:val="auto"/>
          <w:sz w:val="24"/>
          <w:szCs w:val="24"/>
          <w:highlight w:val="none"/>
        </w:rPr>
        <w:fldChar w:fldCharType="end"/>
      </w:r>
      <w:r>
        <w:rPr>
          <w:color w:val="auto"/>
          <w:sz w:val="24"/>
          <w:szCs w:val="24"/>
          <w:highlight w:val="none"/>
        </w:rPr>
        <w:fldChar w:fldCharType="end"/>
      </w:r>
    </w:p>
    <w:p>
      <w:pPr>
        <w:jc w:val="center"/>
        <w:rPr>
          <w:rFonts w:ascii="宋体" w:hAnsi="宋体"/>
          <w:strike/>
          <w:color w:val="auto"/>
          <w:sz w:val="24"/>
          <w:highlight w:val="none"/>
        </w:rPr>
      </w:pPr>
      <w:r>
        <w:rPr>
          <w:rFonts w:cs="Calibri" w:asciiTheme="minorEastAsia" w:hAnsiTheme="minorEastAsia" w:eastAsiaTheme="minorEastAsia"/>
          <w:bCs/>
          <w:caps/>
          <w:color w:val="auto"/>
          <w:szCs w:val="32"/>
          <w:highlight w:val="none"/>
        </w:rPr>
        <w:fldChar w:fldCharType="end"/>
      </w:r>
    </w:p>
    <w:p>
      <w:pPr>
        <w:widowControl/>
        <w:jc w:val="left"/>
        <w:rPr>
          <w:b/>
          <w:bCs/>
          <w:color w:val="auto"/>
          <w:sz w:val="28"/>
          <w:szCs w:val="28"/>
          <w:highlight w:val="none"/>
        </w:rPr>
      </w:pPr>
      <w:bookmarkStart w:id="5" w:name="_Toc13067016"/>
      <w:r>
        <w:rPr>
          <w:b/>
          <w:bCs/>
          <w:color w:val="auto"/>
          <w:sz w:val="28"/>
          <w:szCs w:val="28"/>
          <w:highlight w:val="none"/>
        </w:rPr>
        <w:br w:type="page"/>
      </w:r>
    </w:p>
    <w:p>
      <w:pPr>
        <w:widowControl/>
        <w:jc w:val="center"/>
        <w:outlineLvl w:val="0"/>
        <w:rPr>
          <w:b/>
          <w:bCs/>
          <w:color w:val="auto"/>
          <w:sz w:val="30"/>
          <w:szCs w:val="30"/>
          <w:highlight w:val="none"/>
        </w:rPr>
      </w:pPr>
      <w:bookmarkStart w:id="6" w:name="_Toc5237"/>
      <w:r>
        <w:rPr>
          <w:rFonts w:hint="eastAsia"/>
          <w:b/>
          <w:bCs/>
          <w:color w:val="auto"/>
          <w:sz w:val="28"/>
          <w:szCs w:val="28"/>
          <w:highlight w:val="none"/>
        </w:rPr>
        <w:t>第一</w:t>
      </w:r>
      <w:r>
        <w:rPr>
          <w:b/>
          <w:bCs/>
          <w:color w:val="auto"/>
          <w:sz w:val="28"/>
          <w:szCs w:val="28"/>
          <w:highlight w:val="none"/>
        </w:rPr>
        <w:t>章</w:t>
      </w:r>
      <w:r>
        <w:rPr>
          <w:rFonts w:hint="eastAsia"/>
          <w:b/>
          <w:bCs/>
          <w:color w:val="auto"/>
          <w:sz w:val="28"/>
          <w:szCs w:val="28"/>
          <w:highlight w:val="none"/>
          <w:lang w:val="en-US" w:eastAsia="zh-CN"/>
        </w:rPr>
        <w:t xml:space="preserve"> </w:t>
      </w:r>
      <w:r>
        <w:rPr>
          <w:b/>
          <w:bCs/>
          <w:color w:val="auto"/>
          <w:sz w:val="28"/>
          <w:szCs w:val="28"/>
          <w:highlight w:val="none"/>
        </w:rPr>
        <w:t>投标邀请</w:t>
      </w:r>
      <w:bookmarkEnd w:id="3"/>
      <w:bookmarkEnd w:id="4"/>
      <w:bookmarkEnd w:id="5"/>
      <w:bookmarkEnd w:id="6"/>
    </w:p>
    <w:p>
      <w:pPr>
        <w:snapToGrid w:val="0"/>
        <w:spacing w:line="360" w:lineRule="auto"/>
        <w:ind w:right="-10" w:rightChars="-5" w:firstLine="480" w:firstLineChars="200"/>
        <w:rPr>
          <w:rFonts w:cs="宋体"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u w:val="single"/>
        </w:rPr>
        <w:t>广东采联采购科技有限公司</w:t>
      </w:r>
      <w:r>
        <w:rPr>
          <w:rFonts w:hint="eastAsia" w:asciiTheme="minorEastAsia" w:hAnsiTheme="minorEastAsia" w:eastAsiaTheme="minorEastAsia"/>
          <w:bCs/>
          <w:color w:val="auto"/>
          <w:sz w:val="24"/>
          <w:highlight w:val="none"/>
        </w:rPr>
        <w:t>（以下简称‘采购代理机构’）受</w:t>
      </w:r>
      <w:r>
        <w:rPr>
          <w:rFonts w:hint="eastAsia" w:asciiTheme="minorEastAsia" w:hAnsiTheme="minorEastAsia" w:eastAsiaTheme="minorEastAsia"/>
          <w:color w:val="auto"/>
          <w:sz w:val="24"/>
          <w:highlight w:val="none"/>
          <w:u w:val="single"/>
        </w:rPr>
        <w:t>开平市市场监督管理局</w:t>
      </w:r>
      <w:r>
        <w:rPr>
          <w:rFonts w:hint="eastAsia" w:asciiTheme="minorEastAsia" w:hAnsiTheme="minorEastAsia" w:eastAsiaTheme="minorEastAsia"/>
          <w:bCs/>
          <w:color w:val="auto"/>
          <w:sz w:val="24"/>
          <w:highlight w:val="none"/>
        </w:rPr>
        <w:t>（以下简称‘采购人’）的委托，对</w:t>
      </w:r>
      <w:r>
        <w:rPr>
          <w:rFonts w:hint="eastAsia" w:asciiTheme="minorEastAsia" w:hAnsiTheme="minorEastAsia" w:eastAsiaTheme="minorEastAsia"/>
          <w:color w:val="auto"/>
          <w:sz w:val="24"/>
          <w:highlight w:val="none"/>
          <w:u w:val="single"/>
        </w:rPr>
        <w:t>2020-2021年食品安全监督抽检项目</w:t>
      </w:r>
      <w:r>
        <w:rPr>
          <w:rFonts w:hint="eastAsia" w:asciiTheme="minorEastAsia" w:hAnsiTheme="minorEastAsia" w:eastAsiaTheme="minorEastAsia"/>
          <w:bCs/>
          <w:color w:val="auto"/>
          <w:sz w:val="24"/>
          <w:highlight w:val="none"/>
        </w:rPr>
        <w:t>进行公开招标采购，</w:t>
      </w:r>
      <w:r>
        <w:rPr>
          <w:rFonts w:hint="eastAsia" w:asciiTheme="minorEastAsia" w:hAnsiTheme="minorEastAsia" w:eastAsiaTheme="minorEastAsia"/>
          <w:color w:val="auto"/>
          <w:sz w:val="24"/>
          <w:highlight w:val="none"/>
        </w:rPr>
        <w:t>欢迎符合资格条件的</w:t>
      </w:r>
      <w:r>
        <w:rPr>
          <w:rFonts w:hint="eastAsia" w:asciiTheme="minorEastAsia" w:hAnsiTheme="minorEastAsia" w:eastAsiaTheme="minorEastAsia"/>
          <w:bCs/>
          <w:color w:val="auto"/>
          <w:sz w:val="24"/>
          <w:highlight w:val="none"/>
        </w:rPr>
        <w:t>供应商</w:t>
      </w:r>
      <w:r>
        <w:rPr>
          <w:rFonts w:hint="eastAsia" w:asciiTheme="minorEastAsia" w:hAnsiTheme="minorEastAsia" w:eastAsiaTheme="minorEastAsia"/>
          <w:color w:val="auto"/>
          <w:sz w:val="24"/>
          <w:highlight w:val="none"/>
        </w:rPr>
        <w:t>投标。</w:t>
      </w:r>
    </w:p>
    <w:p>
      <w:pPr>
        <w:numPr>
          <w:ilvl w:val="0"/>
          <w:numId w:val="2"/>
        </w:numPr>
        <w:tabs>
          <w:tab w:val="left" w:pos="142"/>
          <w:tab w:val="left" w:pos="426"/>
          <w:tab w:val="left" w:pos="567"/>
          <w:tab w:val="clear" w:pos="425"/>
        </w:tabs>
        <w:snapToGrid w:val="0"/>
        <w:spacing w:line="360" w:lineRule="auto"/>
        <w:ind w:left="0" w:firstLine="0"/>
        <w:rPr>
          <w:rFonts w:asciiTheme="minorEastAsia" w:hAnsiTheme="minorEastAsia" w:eastAsiaTheme="minorEastAsia"/>
          <w:bCs/>
          <w:color w:val="auto"/>
          <w:sz w:val="24"/>
          <w:highlight w:val="none"/>
          <w:u w:val="single"/>
        </w:rPr>
      </w:pPr>
      <w:r>
        <w:rPr>
          <w:rFonts w:hint="eastAsia" w:asciiTheme="minorEastAsia" w:hAnsiTheme="minorEastAsia" w:eastAsiaTheme="minorEastAsia"/>
          <w:bCs/>
          <w:color w:val="auto"/>
          <w:sz w:val="24"/>
          <w:highlight w:val="none"/>
        </w:rPr>
        <w:t>采购项目编号：kp2020-00239（</w:t>
      </w:r>
      <w:r>
        <w:rPr>
          <w:rFonts w:hint="eastAsia" w:asciiTheme="minorEastAsia" w:hAnsiTheme="minorEastAsia" w:eastAsiaTheme="minorEastAsia"/>
          <w:bCs/>
          <w:color w:val="auto"/>
          <w:sz w:val="24"/>
          <w:highlight w:val="none"/>
          <w:u w:val="single"/>
        </w:rPr>
        <w:t>CLF0120JM00ZC33）</w:t>
      </w:r>
      <w:r>
        <w:rPr>
          <w:rFonts w:hint="eastAsia" w:asciiTheme="minorEastAsia" w:hAnsiTheme="minorEastAsia" w:eastAsiaTheme="minorEastAsia"/>
          <w:bCs/>
          <w:color w:val="auto"/>
          <w:sz w:val="24"/>
          <w:highlight w:val="none"/>
          <w:u w:val="single"/>
          <w:lang w:eastAsia="zh-CN"/>
        </w:rPr>
        <w:t>（</w:t>
      </w:r>
      <w:r>
        <w:rPr>
          <w:rFonts w:hint="eastAsia" w:asciiTheme="minorEastAsia" w:hAnsiTheme="minorEastAsia" w:eastAsiaTheme="minorEastAsia"/>
          <w:bCs/>
          <w:color w:val="auto"/>
          <w:sz w:val="24"/>
          <w:highlight w:val="none"/>
          <w:u w:val="single"/>
        </w:rPr>
        <w:t>440783-202004-51222-0002</w:t>
      </w:r>
      <w:r>
        <w:rPr>
          <w:rFonts w:hint="eastAsia" w:asciiTheme="minorEastAsia" w:hAnsiTheme="minorEastAsia" w:eastAsiaTheme="minorEastAsia"/>
          <w:bCs/>
          <w:color w:val="auto"/>
          <w:sz w:val="24"/>
          <w:highlight w:val="none"/>
          <w:u w:val="single"/>
          <w:lang w:eastAsia="zh-CN"/>
        </w:rPr>
        <w:t>）</w:t>
      </w:r>
    </w:p>
    <w:p>
      <w:pPr>
        <w:numPr>
          <w:ilvl w:val="0"/>
          <w:numId w:val="2"/>
        </w:numPr>
        <w:tabs>
          <w:tab w:val="left" w:pos="142"/>
          <w:tab w:val="left" w:pos="426"/>
          <w:tab w:val="left" w:pos="567"/>
          <w:tab w:val="clear" w:pos="425"/>
        </w:tabs>
        <w:snapToGrid w:val="0"/>
        <w:spacing w:line="360" w:lineRule="auto"/>
        <w:ind w:left="0" w:firstLine="0"/>
        <w:rPr>
          <w:rFonts w:asciiTheme="minorEastAsia" w:hAnsiTheme="minorEastAsia" w:eastAsiaTheme="minorEastAsia"/>
          <w:color w:val="auto"/>
          <w:sz w:val="24"/>
          <w:highlight w:val="none"/>
        </w:rPr>
      </w:pPr>
      <w:r>
        <w:rPr>
          <w:rFonts w:hint="eastAsia" w:asciiTheme="minorEastAsia" w:hAnsiTheme="minorEastAsia" w:eastAsiaTheme="minorEastAsia"/>
          <w:bCs/>
          <w:color w:val="auto"/>
          <w:sz w:val="24"/>
          <w:highlight w:val="none"/>
        </w:rPr>
        <w:t>采购项目名称：</w:t>
      </w:r>
      <w:r>
        <w:rPr>
          <w:rFonts w:hint="eastAsia" w:asciiTheme="minorEastAsia" w:hAnsiTheme="minorEastAsia" w:eastAsiaTheme="minorEastAsia"/>
          <w:color w:val="auto"/>
          <w:sz w:val="24"/>
          <w:highlight w:val="none"/>
          <w:u w:val="single"/>
        </w:rPr>
        <w:t>2020-2021年食品安全监督抽检项目</w:t>
      </w:r>
    </w:p>
    <w:p>
      <w:pPr>
        <w:numPr>
          <w:ilvl w:val="0"/>
          <w:numId w:val="2"/>
        </w:numPr>
        <w:tabs>
          <w:tab w:val="left" w:pos="142"/>
          <w:tab w:val="left" w:pos="426"/>
          <w:tab w:val="left" w:pos="567"/>
          <w:tab w:val="clear" w:pos="425"/>
        </w:tabs>
        <w:snapToGrid w:val="0"/>
        <w:spacing w:line="360" w:lineRule="auto"/>
        <w:ind w:left="0" w:firstLine="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采购项目预算金额（元）：2952000元/年</w:t>
      </w:r>
    </w:p>
    <w:p>
      <w:pPr>
        <w:numPr>
          <w:ilvl w:val="0"/>
          <w:numId w:val="2"/>
        </w:numPr>
        <w:tabs>
          <w:tab w:val="left" w:pos="142"/>
          <w:tab w:val="left" w:pos="426"/>
          <w:tab w:val="left" w:pos="567"/>
          <w:tab w:val="clear" w:pos="425"/>
        </w:tabs>
        <w:snapToGrid w:val="0"/>
        <w:spacing w:line="360" w:lineRule="auto"/>
        <w:ind w:left="0" w:firstLine="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采购数量：</w:t>
      </w:r>
      <w:r>
        <w:rPr>
          <w:rFonts w:hint="eastAsia" w:asciiTheme="minorEastAsia" w:hAnsiTheme="minorEastAsia" w:eastAsiaTheme="minorEastAsia"/>
          <w:color w:val="auto"/>
          <w:sz w:val="24"/>
          <w:highlight w:val="none"/>
          <w:u w:val="single"/>
        </w:rPr>
        <w:t>包组一：558批次；包组二：474批次；包组三：474批次；包组四：475批次；</w:t>
      </w:r>
    </w:p>
    <w:p>
      <w:pPr>
        <w:numPr>
          <w:ilvl w:val="0"/>
          <w:numId w:val="2"/>
        </w:numPr>
        <w:tabs>
          <w:tab w:val="left" w:pos="142"/>
          <w:tab w:val="left" w:pos="426"/>
          <w:tab w:val="left" w:pos="567"/>
          <w:tab w:val="clear" w:pos="425"/>
        </w:tabs>
        <w:snapToGrid w:val="0"/>
        <w:spacing w:line="360" w:lineRule="auto"/>
        <w:ind w:left="0" w:firstLine="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采购项目内容及需求 (采购项目技术规格、参数及要求，需要落实的政府采购政策)：</w:t>
      </w:r>
    </w:p>
    <w:p>
      <w:pPr>
        <w:pStyle w:val="24"/>
        <w:numPr>
          <w:ilvl w:val="0"/>
          <w:numId w:val="3"/>
        </w:numPr>
        <w:tabs>
          <w:tab w:val="left" w:pos="709"/>
          <w:tab w:val="left" w:pos="851"/>
        </w:tabs>
        <w:snapToGrid w:val="0"/>
        <w:spacing w:line="360" w:lineRule="auto"/>
        <w:ind w:left="851" w:hanging="851" w:firstLineChars="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采购项目内容及最高限价：</w:t>
      </w:r>
      <w:r>
        <w:rPr>
          <w:rFonts w:hint="eastAsia" w:asciiTheme="minorEastAsia" w:hAnsiTheme="minorEastAsia" w:eastAsiaTheme="minorEastAsia"/>
          <w:color w:val="auto"/>
          <w:sz w:val="24"/>
          <w:highlight w:val="none"/>
          <w:u w:val="single"/>
        </w:rPr>
        <w:t>包组一：食用农产品抽检，832000元/年；包组二：除食用农产品外的其他食品类别抽检（一），706000元/年；包组三：除食用农产品外的其他食品类别抽检（二），706000元/年；包组四：除食用农产品外的其他食品类别抽检（三），708000元/年；</w:t>
      </w:r>
    </w:p>
    <w:p>
      <w:pPr>
        <w:pStyle w:val="24"/>
        <w:numPr>
          <w:ilvl w:val="0"/>
          <w:numId w:val="3"/>
        </w:numPr>
        <w:tabs>
          <w:tab w:val="left" w:pos="709"/>
          <w:tab w:val="left" w:pos="851"/>
        </w:tabs>
        <w:snapToGrid w:val="0"/>
        <w:spacing w:line="360" w:lineRule="auto"/>
        <w:ind w:firstLineChars="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采购项目品目：</w:t>
      </w:r>
      <w:r>
        <w:rPr>
          <w:rFonts w:hint="eastAsia" w:asciiTheme="minorEastAsia" w:hAnsiTheme="minorEastAsia" w:eastAsiaTheme="minorEastAsia"/>
          <w:bCs/>
          <w:color w:val="auto"/>
          <w:sz w:val="24"/>
          <w:highlight w:val="none"/>
          <w:u w:val="single"/>
        </w:rPr>
        <w:t>其他服务</w:t>
      </w:r>
    </w:p>
    <w:p>
      <w:pPr>
        <w:pStyle w:val="24"/>
        <w:numPr>
          <w:ilvl w:val="0"/>
          <w:numId w:val="3"/>
        </w:numPr>
        <w:tabs>
          <w:tab w:val="left" w:pos="709"/>
          <w:tab w:val="left" w:pos="851"/>
        </w:tabs>
        <w:snapToGrid w:val="0"/>
        <w:spacing w:line="360" w:lineRule="auto"/>
        <w:ind w:left="800" w:hanging="800" w:firstLineChars="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项目基本概况介绍：</w:t>
      </w:r>
      <w:r>
        <w:rPr>
          <w:rFonts w:hint="eastAsia" w:asciiTheme="minorEastAsia" w:hAnsiTheme="minorEastAsia" w:eastAsiaTheme="minorEastAsia"/>
          <w:color w:val="auto"/>
          <w:sz w:val="24"/>
          <w:highlight w:val="none"/>
          <w:u w:val="single"/>
        </w:rPr>
        <w:t>开平市市场监督管理局通过公开招标方式选取提供食品安全监督抽检供应商</w:t>
      </w:r>
      <w:r>
        <w:rPr>
          <w:rFonts w:hint="eastAsia" w:asciiTheme="minorEastAsia" w:hAnsiTheme="minorEastAsia" w:eastAsiaTheme="minorEastAsia"/>
          <w:color w:val="auto"/>
          <w:sz w:val="24"/>
          <w:highlight w:val="none"/>
        </w:rPr>
        <w:t>。</w:t>
      </w:r>
    </w:p>
    <w:p>
      <w:pPr>
        <w:pStyle w:val="24"/>
        <w:numPr>
          <w:ilvl w:val="0"/>
          <w:numId w:val="3"/>
        </w:numPr>
        <w:tabs>
          <w:tab w:val="left" w:pos="709"/>
          <w:tab w:val="left" w:pos="851"/>
        </w:tabs>
        <w:snapToGrid w:val="0"/>
        <w:spacing w:line="360" w:lineRule="auto"/>
        <w:ind w:firstLineChars="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本项目属于政府采购项目。</w:t>
      </w:r>
    </w:p>
    <w:p>
      <w:pPr>
        <w:pStyle w:val="24"/>
        <w:numPr>
          <w:ilvl w:val="0"/>
          <w:numId w:val="3"/>
        </w:numPr>
        <w:tabs>
          <w:tab w:val="left" w:pos="709"/>
          <w:tab w:val="left" w:pos="851"/>
        </w:tabs>
        <w:snapToGrid w:val="0"/>
        <w:spacing w:line="360" w:lineRule="auto"/>
        <w:ind w:firstLineChars="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政府采购监督管理部门：开平市财政局</w:t>
      </w:r>
    </w:p>
    <w:p>
      <w:pPr>
        <w:pStyle w:val="24"/>
        <w:numPr>
          <w:ilvl w:val="0"/>
          <w:numId w:val="3"/>
        </w:numPr>
        <w:tabs>
          <w:tab w:val="left" w:pos="709"/>
        </w:tabs>
        <w:snapToGrid w:val="0"/>
        <w:spacing w:line="360" w:lineRule="auto"/>
        <w:ind w:left="826" w:hanging="826" w:firstLineChars="0"/>
        <w:rPr>
          <w:rFonts w:ascii="宋体" w:hAnsi="宋体" w:cs="宋体"/>
          <w:color w:val="auto"/>
          <w:sz w:val="24"/>
          <w:highlight w:val="none"/>
        </w:rPr>
      </w:pPr>
      <w:r>
        <w:rPr>
          <w:rFonts w:hint="eastAsia" w:asciiTheme="minorEastAsia" w:hAnsiTheme="minorEastAsia" w:eastAsiaTheme="minorEastAsia"/>
          <w:bCs/>
          <w:color w:val="auto"/>
          <w:sz w:val="24"/>
          <w:highlight w:val="none"/>
        </w:rPr>
        <w:t>需要落实的政府采购政策：《政府采购促进中小企业发展暂行办法》（财库〔2011〕181号）、《关于政府采购支持监狱企业发展有关问题的通知》(财库〔2014〕68号)、《关于促进残疾人就业政府采购政策的通知》（财库〔2017〕141号)、</w:t>
      </w:r>
      <w:r>
        <w:rPr>
          <w:rFonts w:hint="eastAsia" w:asciiTheme="minorEastAsia" w:hAnsiTheme="minorEastAsia"/>
          <w:bCs/>
          <w:color w:val="auto"/>
          <w:sz w:val="24"/>
          <w:highlight w:val="none"/>
        </w:rPr>
        <w:t>《财政部 发展改革委 生态环境部 市场监管总局关于调整优化节能产品、环境标志产品政府采购执行机制的通知》</w:t>
      </w:r>
      <w:r>
        <w:rPr>
          <w:rFonts w:hint="eastAsia" w:asciiTheme="minorEastAsia" w:hAnsiTheme="minorEastAsia" w:eastAsiaTheme="minorEastAsia"/>
          <w:bCs/>
          <w:color w:val="auto"/>
          <w:sz w:val="24"/>
          <w:highlight w:val="none"/>
        </w:rPr>
        <w:t>（财库〔2019〕9号）</w:t>
      </w:r>
      <w:r>
        <w:rPr>
          <w:rFonts w:asciiTheme="minorEastAsia" w:hAnsiTheme="minorEastAsia" w:eastAsiaTheme="minorEastAsia"/>
          <w:bCs/>
          <w:color w:val="auto"/>
          <w:sz w:val="24"/>
          <w:highlight w:val="none"/>
        </w:rPr>
        <w:t>、</w:t>
      </w:r>
      <w:r>
        <w:rPr>
          <w:rFonts w:ascii="宋体" w:hAnsi="宋体" w:cs="宋体"/>
          <w:color w:val="auto"/>
          <w:sz w:val="24"/>
          <w:highlight w:val="none"/>
        </w:rPr>
        <w:t>《</w:t>
      </w:r>
      <w:r>
        <w:rPr>
          <w:rFonts w:ascii="宋体" w:hAnsi="宋体" w:cs="宋体"/>
          <w:bCs/>
          <w:color w:val="auto"/>
          <w:sz w:val="24"/>
          <w:highlight w:val="none"/>
        </w:rPr>
        <w:t>关于运用政府采购政策支持脱贫攻坚的通知</w:t>
      </w:r>
      <w:r>
        <w:rPr>
          <w:rFonts w:ascii="宋体" w:hAnsi="宋体" w:cs="宋体"/>
          <w:color w:val="auto"/>
          <w:sz w:val="24"/>
          <w:highlight w:val="none"/>
        </w:rPr>
        <w:t>》（财库〔2019〕27号）等</w:t>
      </w:r>
      <w:r>
        <w:rPr>
          <w:rFonts w:hint="eastAsia" w:ascii="宋体" w:hAnsi="宋体" w:cs="宋体"/>
          <w:color w:val="auto"/>
          <w:sz w:val="24"/>
          <w:highlight w:val="none"/>
        </w:rPr>
        <w:t>。</w:t>
      </w:r>
    </w:p>
    <w:p>
      <w:pPr>
        <w:numPr>
          <w:ilvl w:val="0"/>
          <w:numId w:val="2"/>
        </w:numPr>
        <w:tabs>
          <w:tab w:val="left" w:pos="142"/>
          <w:tab w:val="left" w:pos="426"/>
          <w:tab w:val="clear" w:pos="425"/>
        </w:tabs>
        <w:snapToGrid w:val="0"/>
        <w:spacing w:line="360" w:lineRule="auto"/>
        <w:ind w:left="0" w:firstLine="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投标人的资格要求：</w:t>
      </w:r>
    </w:p>
    <w:p>
      <w:pPr>
        <w:pStyle w:val="24"/>
        <w:numPr>
          <w:ilvl w:val="0"/>
          <w:numId w:val="4"/>
        </w:numPr>
        <w:tabs>
          <w:tab w:val="left" w:pos="567"/>
        </w:tabs>
        <w:snapToGrid w:val="0"/>
        <w:spacing w:line="360" w:lineRule="auto"/>
        <w:ind w:left="567" w:hanging="567" w:firstLineChars="0"/>
        <w:rPr>
          <w:rFonts w:ascii="宋体" w:hAnsi="宋体" w:cs="黑体"/>
          <w:color w:val="auto"/>
          <w:sz w:val="24"/>
          <w:highlight w:val="none"/>
          <w:shd w:val="pct10" w:color="auto" w:fill="FFFFFF"/>
        </w:rPr>
      </w:pPr>
      <w:bookmarkStart w:id="7" w:name="_Toc435514843"/>
      <w:bookmarkStart w:id="8" w:name="_Toc435115052"/>
      <w:r>
        <w:rPr>
          <w:rFonts w:hint="eastAsia" w:asciiTheme="minorEastAsia" w:hAnsiTheme="minorEastAsia" w:eastAsiaTheme="minorEastAsia"/>
          <w:bCs/>
          <w:color w:val="auto"/>
          <w:sz w:val="24"/>
          <w:highlight w:val="none"/>
        </w:rPr>
        <w:t>具备《中华人民共和国政府采购法》第二十二条</w:t>
      </w:r>
      <w:r>
        <w:rPr>
          <w:rFonts w:hint="eastAsia" w:asciiTheme="majorEastAsia" w:hAnsiTheme="majorEastAsia" w:eastAsiaTheme="majorEastAsia"/>
          <w:bCs/>
          <w:color w:val="auto"/>
          <w:sz w:val="24"/>
          <w:highlight w:val="none"/>
        </w:rPr>
        <w:t>、《政府购买服务管理办法》第六条、《国务院办公厅关于政府向社会力量购买服务的指导意见》第三点第（二）项规定的条件</w:t>
      </w:r>
      <w:r>
        <w:rPr>
          <w:rFonts w:hint="eastAsia" w:asciiTheme="majorEastAsia" w:hAnsiTheme="majorEastAsia" w:eastAsiaTheme="majorEastAsia"/>
          <w:color w:val="auto"/>
          <w:sz w:val="24"/>
          <w:highlight w:val="none"/>
        </w:rPr>
        <w:t>；</w:t>
      </w:r>
    </w:p>
    <w:p>
      <w:pPr>
        <w:pStyle w:val="24"/>
        <w:numPr>
          <w:ilvl w:val="1"/>
          <w:numId w:val="5"/>
        </w:numPr>
        <w:snapToGrid w:val="0"/>
        <w:spacing w:line="360" w:lineRule="auto"/>
        <w:ind w:firstLineChars="0"/>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具有独立承担民事责任的能力</w:t>
      </w:r>
      <w:r>
        <w:rPr>
          <w:rFonts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依法成立的企业、社会组织（不含由财政拨款保障的群团组织）、公益二类和从事生产经营活动的事业单位、农村集体经济组织、基层群众性自治组织；</w:t>
      </w:r>
    </w:p>
    <w:p>
      <w:pPr>
        <w:pStyle w:val="24"/>
        <w:numPr>
          <w:ilvl w:val="1"/>
          <w:numId w:val="5"/>
        </w:numPr>
        <w:snapToGrid w:val="0"/>
        <w:spacing w:line="360" w:lineRule="auto"/>
        <w:ind w:firstLineChars="0"/>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具备服务所必需的设施、人员和专业技术的能力；</w:t>
      </w:r>
    </w:p>
    <w:p>
      <w:pPr>
        <w:pStyle w:val="24"/>
        <w:numPr>
          <w:ilvl w:val="1"/>
          <w:numId w:val="5"/>
        </w:numPr>
        <w:snapToGrid w:val="0"/>
        <w:spacing w:line="360" w:lineRule="auto"/>
        <w:ind w:firstLineChars="0"/>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具有良好的社会、商业信誉和健全的内部治理结构、财务会计和资产管理制度；</w:t>
      </w:r>
    </w:p>
    <w:p>
      <w:pPr>
        <w:pStyle w:val="24"/>
        <w:numPr>
          <w:ilvl w:val="1"/>
          <w:numId w:val="5"/>
        </w:numPr>
        <w:snapToGrid w:val="0"/>
        <w:spacing w:line="360" w:lineRule="auto"/>
        <w:ind w:firstLineChars="0"/>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具有依法缴纳税收和社会保险的良好记录；</w:t>
      </w:r>
    </w:p>
    <w:p>
      <w:pPr>
        <w:pStyle w:val="24"/>
        <w:numPr>
          <w:ilvl w:val="1"/>
          <w:numId w:val="5"/>
        </w:numPr>
        <w:snapToGrid w:val="0"/>
        <w:spacing w:line="360" w:lineRule="auto"/>
        <w:ind w:firstLineChars="0"/>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 xml:space="preserve">参加政府采购活动前三年内，在经营活动中没有重大违法记录； </w:t>
      </w:r>
    </w:p>
    <w:p>
      <w:pPr>
        <w:pStyle w:val="24"/>
        <w:numPr>
          <w:ilvl w:val="1"/>
          <w:numId w:val="5"/>
        </w:numPr>
        <w:snapToGrid w:val="0"/>
        <w:spacing w:line="360" w:lineRule="auto"/>
        <w:ind w:firstLineChars="0"/>
        <w:rPr>
          <w:rFonts w:asciiTheme="minorEastAsia" w:hAnsiTheme="minorEastAsia" w:eastAsiaTheme="minorEastAsia"/>
          <w:bCs/>
          <w:color w:val="auto"/>
          <w:sz w:val="24"/>
          <w:highlight w:val="none"/>
        </w:rPr>
      </w:pPr>
      <w:r>
        <w:rPr>
          <w:rFonts w:hint="eastAsia" w:asciiTheme="majorEastAsia" w:hAnsiTheme="majorEastAsia" w:eastAsiaTheme="majorEastAsia"/>
          <w:color w:val="auto"/>
          <w:sz w:val="24"/>
          <w:highlight w:val="none"/>
        </w:rPr>
        <w:t>法律、法规规定其他条件。</w:t>
      </w:r>
    </w:p>
    <w:p>
      <w:pPr>
        <w:pStyle w:val="24"/>
        <w:numPr>
          <w:ilvl w:val="0"/>
          <w:numId w:val="4"/>
        </w:numPr>
        <w:tabs>
          <w:tab w:val="left" w:pos="567"/>
        </w:tabs>
        <w:snapToGrid w:val="0"/>
        <w:spacing w:line="360" w:lineRule="auto"/>
        <w:ind w:left="567" w:hanging="567" w:firstLineChars="0"/>
        <w:rPr>
          <w:rFonts w:asciiTheme="minorEastAsia" w:hAnsiTheme="minorEastAsia" w:eastAsiaTheme="minorEastAsia"/>
          <w:color w:val="auto"/>
          <w:sz w:val="24"/>
          <w:highlight w:val="none"/>
        </w:rPr>
      </w:pPr>
      <w:r>
        <w:rPr>
          <w:rFonts w:hint="eastAsia" w:asciiTheme="minorEastAsia" w:hAnsiTheme="minorEastAsia" w:eastAsiaTheme="minorEastAsia"/>
          <w:bCs/>
          <w:color w:val="auto"/>
          <w:sz w:val="24"/>
          <w:highlight w:val="none"/>
        </w:rPr>
        <w:t>为采购项目提供整体设计、规范编制或者项目管理、监理、检测等服务的供应商，不得再参加该采购项目</w:t>
      </w:r>
      <w:r>
        <w:rPr>
          <w:rFonts w:hint="eastAsia"/>
          <w:bCs/>
          <w:color w:val="auto"/>
          <w:sz w:val="24"/>
          <w:highlight w:val="none"/>
        </w:rPr>
        <w:t>同一合同项下</w:t>
      </w:r>
      <w:r>
        <w:rPr>
          <w:rFonts w:hint="eastAsia" w:asciiTheme="minorEastAsia" w:hAnsiTheme="minorEastAsia" w:eastAsiaTheme="minorEastAsia"/>
          <w:bCs/>
          <w:color w:val="auto"/>
          <w:sz w:val="24"/>
          <w:highlight w:val="none"/>
        </w:rPr>
        <w:t>的其他采购活动。</w:t>
      </w:r>
    </w:p>
    <w:p>
      <w:pPr>
        <w:pStyle w:val="24"/>
        <w:numPr>
          <w:ilvl w:val="0"/>
          <w:numId w:val="4"/>
        </w:numPr>
        <w:tabs>
          <w:tab w:val="left" w:pos="567"/>
        </w:tabs>
        <w:snapToGrid w:val="0"/>
        <w:spacing w:line="360" w:lineRule="auto"/>
        <w:ind w:left="567" w:hanging="567" w:firstLineChars="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单位负责人为同一人或者存在直接控股、管理关系的不同供应商，不得参加同一合同项下的政府采购活动。</w:t>
      </w:r>
    </w:p>
    <w:p>
      <w:pPr>
        <w:pStyle w:val="24"/>
        <w:numPr>
          <w:ilvl w:val="0"/>
          <w:numId w:val="4"/>
        </w:numPr>
        <w:tabs>
          <w:tab w:val="left" w:pos="567"/>
        </w:tabs>
        <w:snapToGrid w:val="0"/>
        <w:spacing w:line="360" w:lineRule="auto"/>
        <w:ind w:left="567" w:hanging="567" w:firstLineChars="0"/>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投标人未被列入“信用中国”网站(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Style w:val="21"/>
          <w:rFonts w:asciiTheme="minorEastAsia" w:hAnsiTheme="minorEastAsia" w:eastAsiaTheme="minorEastAsia"/>
          <w:color w:val="auto"/>
          <w:sz w:val="24"/>
          <w:highlight w:val="none"/>
        </w:rPr>
        <w:t>www.creditchina.gov.cn</w:t>
      </w:r>
      <w:r>
        <w:rPr>
          <w:rStyle w:val="21"/>
          <w:rFonts w:asciiTheme="minorEastAsia" w:hAnsiTheme="minorEastAsia" w:eastAsiaTheme="minorEastAsia"/>
          <w:color w:val="auto"/>
          <w:sz w:val="24"/>
          <w:highlight w:val="none"/>
        </w:rPr>
        <w:fldChar w:fldCharType="end"/>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以下任何记录名单之一：①</w:t>
      </w:r>
      <w:r>
        <w:rPr>
          <w:rFonts w:asciiTheme="minorEastAsia" w:hAnsiTheme="minorEastAsia" w:eastAsiaTheme="minorEastAsia"/>
          <w:color w:val="auto"/>
          <w:sz w:val="24"/>
          <w:highlight w:val="none"/>
        </w:rPr>
        <w:t>失信被执行人</w:t>
      </w:r>
      <w:r>
        <w:rPr>
          <w:rFonts w:hint="eastAsia" w:asciiTheme="minorEastAsia" w:hAnsiTheme="minorEastAsia" w:eastAsiaTheme="minorEastAsia"/>
          <w:color w:val="auto"/>
          <w:sz w:val="24"/>
          <w:highlight w:val="none"/>
        </w:rPr>
        <w:t>；②</w:t>
      </w:r>
      <w:r>
        <w:rPr>
          <w:rFonts w:asciiTheme="minorEastAsia" w:hAnsiTheme="minorEastAsia" w:eastAsiaTheme="minorEastAsia"/>
          <w:color w:val="auto"/>
          <w:sz w:val="24"/>
          <w:highlight w:val="none"/>
        </w:rPr>
        <w:t>重大税收违法案件当事人名单</w:t>
      </w:r>
      <w:r>
        <w:rPr>
          <w:rFonts w:hint="eastAsia" w:asciiTheme="minorEastAsia" w:hAnsiTheme="minorEastAsia" w:eastAsiaTheme="minorEastAsia"/>
          <w:color w:val="auto"/>
          <w:sz w:val="24"/>
          <w:highlight w:val="none"/>
        </w:rPr>
        <w:t>；③</w:t>
      </w:r>
      <w:r>
        <w:rPr>
          <w:rFonts w:asciiTheme="minorEastAsia" w:hAnsiTheme="minorEastAsia" w:eastAsiaTheme="minorEastAsia"/>
          <w:color w:val="auto"/>
          <w:sz w:val="24"/>
          <w:highlight w:val="none"/>
        </w:rPr>
        <w:t>政府采购严重违法失信行为</w:t>
      </w:r>
      <w:r>
        <w:rPr>
          <w:rFonts w:hint="eastAsia" w:asciiTheme="minorEastAsia" w:hAnsiTheme="minorEastAsia" w:eastAsiaTheme="minorEastAsia"/>
          <w:color w:val="auto"/>
          <w:sz w:val="24"/>
          <w:highlight w:val="none"/>
        </w:rPr>
        <w:t>。同时，</w:t>
      </w:r>
      <w:r>
        <w:rPr>
          <w:rFonts w:asciiTheme="minorEastAsia" w:hAnsiTheme="minorEastAsia" w:eastAsiaTheme="minorEastAsia"/>
          <w:color w:val="auto"/>
          <w:sz w:val="24"/>
          <w:highlight w:val="none"/>
        </w:rPr>
        <w:t>不处于中国政府采购网(www.ccgp.gov.cn)“政府采购严重违法失信行为信息记录”中的禁止参加政府采购活动期间。</w:t>
      </w:r>
    </w:p>
    <w:p>
      <w:pPr>
        <w:pStyle w:val="24"/>
        <w:numPr>
          <w:ilvl w:val="0"/>
          <w:numId w:val="4"/>
        </w:numPr>
        <w:tabs>
          <w:tab w:val="left" w:pos="567"/>
        </w:tabs>
        <w:snapToGrid w:val="0"/>
        <w:spacing w:line="360" w:lineRule="auto"/>
        <w:ind w:left="567" w:hanging="567" w:firstLineChars="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lang w:eastAsia="zh-CN"/>
        </w:rPr>
        <w:t>（适用于包组一）</w:t>
      </w:r>
      <w:r>
        <w:rPr>
          <w:rFonts w:hint="eastAsia" w:asciiTheme="minorEastAsia" w:hAnsiTheme="minorEastAsia" w:eastAsiaTheme="minorEastAsia"/>
          <w:bCs/>
          <w:color w:val="auto"/>
          <w:sz w:val="24"/>
          <w:highlight w:val="none"/>
        </w:rPr>
        <w:t xml:space="preserve"> 投标人必须具有下列证书（需提供证书复印件加盖投标人公章）（如国家另有规定，则适用其规定）</w:t>
      </w:r>
      <w:r>
        <w:rPr>
          <w:rFonts w:hint="eastAsia" w:asciiTheme="minorEastAsia" w:hAnsiTheme="minorEastAsia" w:eastAsiaTheme="minorEastAsia"/>
          <w:bCs/>
          <w:color w:val="auto"/>
          <w:sz w:val="24"/>
          <w:highlight w:val="none"/>
          <w:lang w:eastAsia="zh-CN"/>
        </w:rPr>
        <w:t>：</w:t>
      </w:r>
    </w:p>
    <w:p>
      <w:pPr>
        <w:pStyle w:val="24"/>
        <w:numPr>
          <w:ilvl w:val="0"/>
          <w:numId w:val="6"/>
        </w:numPr>
        <w:tabs>
          <w:tab w:val="left" w:pos="567"/>
          <w:tab w:val="clear" w:pos="312"/>
        </w:tabs>
        <w:snapToGrid w:val="0"/>
        <w:spacing w:line="360" w:lineRule="auto"/>
        <w:ind w:left="400" w:leftChars="200" w:firstLine="79" w:firstLineChars="33"/>
        <w:rPr>
          <w:rFonts w:hint="eastAsia" w:asciiTheme="minorEastAsia" w:hAnsiTheme="minorEastAsia" w:eastAsiaTheme="minorEastAsia"/>
          <w:bCs/>
          <w:color w:val="auto"/>
          <w:sz w:val="24"/>
          <w:highlight w:val="none"/>
          <w:lang w:eastAsia="zh-CN"/>
        </w:rPr>
      </w:pPr>
      <w:r>
        <w:rPr>
          <w:rFonts w:hint="eastAsia" w:asciiTheme="minorEastAsia" w:hAnsiTheme="minorEastAsia" w:eastAsiaTheme="minorEastAsia"/>
          <w:bCs/>
          <w:color w:val="auto"/>
          <w:sz w:val="24"/>
          <w:highlight w:val="none"/>
        </w:rPr>
        <w:t>具有有效期内的《农产品质量安全检测机构考核合格证书》CATL证书</w:t>
      </w:r>
      <w:r>
        <w:rPr>
          <w:rFonts w:hint="eastAsia" w:asciiTheme="minorEastAsia" w:hAnsiTheme="minorEastAsia" w:eastAsiaTheme="minorEastAsia"/>
          <w:bCs/>
          <w:color w:val="auto"/>
          <w:sz w:val="24"/>
          <w:highlight w:val="none"/>
          <w:lang w:eastAsia="zh-CN"/>
        </w:rPr>
        <w:t>；</w:t>
      </w:r>
    </w:p>
    <w:p>
      <w:pPr>
        <w:pStyle w:val="24"/>
        <w:numPr>
          <w:ilvl w:val="0"/>
          <w:numId w:val="6"/>
        </w:numPr>
        <w:tabs>
          <w:tab w:val="left" w:pos="567"/>
          <w:tab w:val="clear" w:pos="312"/>
        </w:tabs>
        <w:snapToGrid w:val="0"/>
        <w:spacing w:line="360" w:lineRule="auto"/>
        <w:ind w:left="400" w:leftChars="200" w:firstLine="79" w:firstLineChars="33"/>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有效期内的《食品检验机构资质认定》CMAF证书</w:t>
      </w:r>
      <w:r>
        <w:rPr>
          <w:rFonts w:hint="eastAsia" w:asciiTheme="minorEastAsia" w:hAnsiTheme="minorEastAsia" w:eastAsiaTheme="minorEastAsia"/>
          <w:bCs/>
          <w:color w:val="auto"/>
          <w:sz w:val="24"/>
          <w:highlight w:val="none"/>
          <w:lang w:eastAsia="zh-CN"/>
        </w:rPr>
        <w:t>或</w:t>
      </w:r>
      <w:r>
        <w:rPr>
          <w:rFonts w:hint="eastAsia" w:asciiTheme="minorEastAsia" w:hAnsiTheme="minorEastAsia" w:eastAsiaTheme="minorEastAsia"/>
          <w:bCs/>
          <w:color w:val="auto"/>
          <w:sz w:val="24"/>
          <w:highlight w:val="none"/>
        </w:rPr>
        <w:t>《检测检验机构资质认定》CMA证书</w:t>
      </w:r>
      <w:r>
        <w:rPr>
          <w:rFonts w:hint="eastAsia" w:asciiTheme="minorEastAsia" w:hAnsiTheme="minorEastAsia" w:eastAsiaTheme="minorEastAsia"/>
          <w:bCs/>
          <w:color w:val="auto"/>
          <w:sz w:val="24"/>
          <w:highlight w:val="none"/>
          <w:lang w:eastAsia="zh-CN"/>
        </w:rPr>
        <w:t>。</w:t>
      </w:r>
    </w:p>
    <w:p>
      <w:pPr>
        <w:pStyle w:val="24"/>
        <w:numPr>
          <w:ilvl w:val="0"/>
          <w:numId w:val="4"/>
        </w:numPr>
        <w:tabs>
          <w:tab w:val="left" w:pos="567"/>
        </w:tabs>
        <w:snapToGrid w:val="0"/>
        <w:spacing w:line="360" w:lineRule="auto"/>
        <w:ind w:left="567" w:hanging="567" w:firstLineChars="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lang w:eastAsia="zh-CN"/>
        </w:rPr>
        <w:t>（适用于包组二、三、四）</w:t>
      </w:r>
      <w:r>
        <w:rPr>
          <w:rFonts w:hint="eastAsia" w:asciiTheme="minorEastAsia" w:hAnsiTheme="minorEastAsia" w:eastAsiaTheme="minorEastAsia"/>
          <w:bCs/>
          <w:color w:val="auto"/>
          <w:sz w:val="24"/>
          <w:highlight w:val="none"/>
        </w:rPr>
        <w:t>投标人必须具有下列证书之一（需提供证书复印件加盖投标人公章）（如国家另有规定，则适用其规定）：</w:t>
      </w:r>
    </w:p>
    <w:p>
      <w:pPr>
        <w:pStyle w:val="24"/>
        <w:numPr>
          <w:ilvl w:val="1"/>
          <w:numId w:val="7"/>
        </w:numPr>
        <w:tabs>
          <w:tab w:val="left" w:pos="400"/>
        </w:tabs>
        <w:snapToGrid w:val="0"/>
        <w:spacing w:line="360" w:lineRule="auto"/>
        <w:ind w:left="407" w:leftChars="0" w:hanging="7" w:firstLineChars="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有效期内的《食品检验机构资质认定》CMAF证书；</w:t>
      </w:r>
    </w:p>
    <w:p>
      <w:pPr>
        <w:pStyle w:val="24"/>
        <w:numPr>
          <w:ilvl w:val="1"/>
          <w:numId w:val="7"/>
        </w:numPr>
        <w:tabs>
          <w:tab w:val="left" w:pos="400"/>
        </w:tabs>
        <w:snapToGrid w:val="0"/>
        <w:spacing w:line="360" w:lineRule="auto"/>
        <w:ind w:left="407" w:leftChars="0" w:hanging="7" w:firstLineChars="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有效期内的《检测检验机构资质认定》CMA证书</w:t>
      </w:r>
      <w:r>
        <w:rPr>
          <w:rFonts w:hint="eastAsia" w:asciiTheme="minorEastAsia" w:hAnsiTheme="minorEastAsia" w:eastAsiaTheme="minorEastAsia"/>
          <w:bCs/>
          <w:color w:val="auto"/>
          <w:sz w:val="24"/>
          <w:highlight w:val="none"/>
          <w:lang w:eastAsia="zh-CN"/>
        </w:rPr>
        <w:t>。</w:t>
      </w:r>
    </w:p>
    <w:p>
      <w:pPr>
        <w:pStyle w:val="24"/>
        <w:numPr>
          <w:ilvl w:val="0"/>
          <w:numId w:val="4"/>
        </w:numPr>
        <w:tabs>
          <w:tab w:val="left" w:pos="567"/>
        </w:tabs>
        <w:snapToGrid w:val="0"/>
        <w:spacing w:line="360" w:lineRule="auto"/>
        <w:ind w:left="567" w:hanging="567" w:firstLineChars="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成功报名并下载本招标文件的供应商。（提供《标书下载回执》）</w:t>
      </w:r>
    </w:p>
    <w:p>
      <w:pPr>
        <w:pStyle w:val="24"/>
        <w:numPr>
          <w:ilvl w:val="0"/>
          <w:numId w:val="4"/>
        </w:numPr>
        <w:tabs>
          <w:tab w:val="left" w:pos="567"/>
        </w:tabs>
        <w:snapToGrid w:val="0"/>
        <w:spacing w:line="360" w:lineRule="auto"/>
        <w:ind w:left="567" w:hanging="567" w:firstLineChars="0"/>
        <w:rPr>
          <w:rFonts w:asciiTheme="minorEastAsia" w:hAnsiTheme="minorEastAsia" w:eastAsiaTheme="minorEastAsia"/>
          <w:b/>
          <w:strike/>
          <w:color w:val="auto"/>
          <w:sz w:val="24"/>
          <w:highlight w:val="none"/>
        </w:rPr>
      </w:pPr>
      <w:r>
        <w:rPr>
          <w:rFonts w:hint="eastAsia" w:asciiTheme="minorEastAsia" w:hAnsiTheme="minorEastAsia" w:eastAsiaTheme="minorEastAsia"/>
          <w:bCs/>
          <w:color w:val="auto"/>
          <w:sz w:val="24"/>
          <w:highlight w:val="none"/>
        </w:rPr>
        <w:t>本项目</w:t>
      </w:r>
      <w:r>
        <w:rPr>
          <w:rFonts w:hint="eastAsia" w:asciiTheme="minorEastAsia" w:hAnsiTheme="minorEastAsia" w:eastAsiaTheme="minorEastAsia"/>
          <w:bCs/>
          <w:color w:val="auto"/>
          <w:sz w:val="24"/>
          <w:highlight w:val="none"/>
          <w:u w:val="single"/>
        </w:rPr>
        <w:t>不</w:t>
      </w:r>
      <w:r>
        <w:rPr>
          <w:rFonts w:hint="eastAsia" w:asciiTheme="minorEastAsia" w:hAnsiTheme="minorEastAsia" w:eastAsiaTheme="minorEastAsia"/>
          <w:bCs/>
          <w:color w:val="auto"/>
          <w:sz w:val="24"/>
          <w:highlight w:val="none"/>
        </w:rPr>
        <w:t>接受联合体投标。</w:t>
      </w:r>
    </w:p>
    <w:p>
      <w:pPr>
        <w:numPr>
          <w:ilvl w:val="0"/>
          <w:numId w:val="2"/>
        </w:numPr>
        <w:tabs>
          <w:tab w:val="left" w:pos="142"/>
          <w:tab w:val="left" w:pos="567"/>
          <w:tab w:val="clear" w:pos="425"/>
        </w:tabs>
        <w:snapToGrid w:val="0"/>
        <w:spacing w:line="360" w:lineRule="auto"/>
        <w:ind w:left="0" w:firstLine="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获取招标文件</w:t>
      </w:r>
    </w:p>
    <w:p>
      <w:pPr>
        <w:pStyle w:val="24"/>
        <w:numPr>
          <w:ilvl w:val="0"/>
          <w:numId w:val="8"/>
        </w:numPr>
        <w:tabs>
          <w:tab w:val="left" w:pos="567"/>
        </w:tabs>
        <w:snapToGrid w:val="0"/>
        <w:spacing w:line="360" w:lineRule="auto"/>
        <w:ind w:left="567" w:hanging="567" w:firstLineChars="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获取方式：</w:t>
      </w:r>
    </w:p>
    <w:p>
      <w:pPr>
        <w:pStyle w:val="24"/>
        <w:tabs>
          <w:tab w:val="left" w:pos="567"/>
        </w:tabs>
        <w:snapToGrid w:val="0"/>
        <w:spacing w:line="360" w:lineRule="auto"/>
        <w:ind w:firstLine="600" w:firstLineChars="2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供应商（包括江门市的供应商和外地供应商）必须通过江门公共资源交易网（http://www.jiangmen.gov.cn/bmpd/jmsggzyjyzx/index.html，中文域名：江门市公共资源交易网）进行网上报名，完成报名步骤后，缴纳标书款人民币150.00元至（收款人名称：广东采联采购科技有限公司江门分公司；开户银行:广发银行股份有限公司广州白云机场支行；账号：9550880212701900185。</w:t>
      </w:r>
      <w:r>
        <w:rPr>
          <w:rFonts w:hint="eastAsia" w:asciiTheme="minorEastAsia" w:hAnsiTheme="minorEastAsia" w:eastAsiaTheme="minorEastAsia"/>
          <w:color w:val="auto"/>
          <w:sz w:val="24"/>
          <w:highlight w:val="none"/>
          <w:lang w:val="en-US" w:eastAsia="zh-CN"/>
        </w:rPr>
        <w:t>备注：</w:t>
      </w:r>
      <w:r>
        <w:rPr>
          <w:rFonts w:hint="eastAsia" w:asciiTheme="minorEastAsia" w:hAnsiTheme="minorEastAsia" w:eastAsiaTheme="minorEastAsia"/>
          <w:b/>
          <w:bCs/>
          <w:color w:val="auto"/>
          <w:sz w:val="24"/>
          <w:highlight w:val="none"/>
          <w:lang w:val="en-US" w:eastAsia="zh-CN"/>
        </w:rPr>
        <w:t>20JM0033</w:t>
      </w:r>
      <w:r>
        <w:rPr>
          <w:rFonts w:hint="eastAsia" w:asciiTheme="minorEastAsia" w:hAnsiTheme="minorEastAsia" w:eastAsiaTheme="minorEastAsia"/>
          <w:color w:val="auto"/>
          <w:sz w:val="24"/>
          <w:highlight w:val="none"/>
        </w:rPr>
        <w:t>），供应商报名并缴费后视为成功获取纸质招标文件。供应商报名后可在网上下载获取电子招标文件，纸质文件请联系代理机构（黄小姐，0750-3390080）。未登记的供应商应当先完成供应商网上登记再下载招标文件。供应商登记办法请登陆江门市公共资源交易网查阅。</w:t>
      </w:r>
      <w:r>
        <w:rPr>
          <w:rFonts w:hint="eastAsia" w:asciiTheme="minorEastAsia" w:hAnsiTheme="minorEastAsia" w:eastAsiaTheme="minorEastAsia"/>
          <w:color w:val="auto"/>
          <w:sz w:val="24"/>
          <w:highlight w:val="none"/>
        </w:rPr>
        <w:br w:type="textWrapping"/>
      </w:r>
      <w:r>
        <w:rPr>
          <w:rFonts w:hint="eastAsia" w:asciiTheme="minorEastAsia" w:hAnsiTheme="minorEastAsia" w:eastAsiaTheme="minorEastAsia"/>
          <w:color w:val="auto"/>
          <w:sz w:val="24"/>
          <w:highlight w:val="none"/>
        </w:rPr>
        <w:t>2、供应商下载电子招标文件后必须按照系统提示打印《标书下载确认回执》。《标书下载确认回执》是供应商成功下载电子招标文件、完成报名手续的唯一证明。供应商应将《标书下载确认回执》粘贴在投标文件正本的外包装，以供核对。否则，投标文件将被拒绝接受。</w:t>
      </w:r>
    </w:p>
    <w:p>
      <w:pPr>
        <w:pStyle w:val="24"/>
        <w:numPr>
          <w:ilvl w:val="0"/>
          <w:numId w:val="8"/>
        </w:numPr>
        <w:tabs>
          <w:tab w:val="left" w:pos="567"/>
        </w:tabs>
        <w:snapToGrid w:val="0"/>
        <w:spacing w:line="360" w:lineRule="auto"/>
        <w:ind w:left="567" w:hanging="567" w:firstLineChars="0"/>
        <w:rPr>
          <w:rFonts w:asciiTheme="minorEastAsia" w:hAnsiTheme="minorEastAsia" w:eastAsiaTheme="minorEastAsia"/>
          <w:strike/>
          <w:color w:val="auto"/>
          <w:sz w:val="24"/>
          <w:highlight w:val="none"/>
        </w:rPr>
      </w:pPr>
      <w:r>
        <w:rPr>
          <w:rFonts w:hint="eastAsia" w:asciiTheme="minorEastAsia" w:hAnsiTheme="minorEastAsia" w:eastAsiaTheme="minorEastAsia"/>
          <w:color w:val="auto"/>
          <w:sz w:val="24"/>
          <w:highlight w:val="none"/>
        </w:rPr>
        <w:t>获取招标文件过程问题咨询联系人：</w:t>
      </w:r>
      <w:r>
        <w:rPr>
          <w:rFonts w:hint="eastAsia" w:asciiTheme="minorEastAsia" w:hAnsiTheme="minorEastAsia" w:eastAsiaTheme="minorEastAsia"/>
          <w:color w:val="auto"/>
          <w:sz w:val="24"/>
          <w:highlight w:val="none"/>
          <w:u w:val="single"/>
        </w:rPr>
        <w:t>黄女士</w:t>
      </w:r>
      <w:r>
        <w:rPr>
          <w:rFonts w:hint="eastAsia" w:asciiTheme="minorEastAsia" w:hAnsiTheme="minorEastAsia" w:eastAsiaTheme="minorEastAsia"/>
          <w:color w:val="auto"/>
          <w:sz w:val="24"/>
          <w:highlight w:val="none"/>
        </w:rPr>
        <w:t>，联系电话：</w:t>
      </w:r>
      <w:r>
        <w:rPr>
          <w:rFonts w:hint="eastAsia" w:asciiTheme="minorEastAsia" w:hAnsiTheme="minorEastAsia" w:eastAsiaTheme="minorEastAsia"/>
          <w:color w:val="auto"/>
          <w:sz w:val="24"/>
          <w:highlight w:val="none"/>
          <w:u w:val="single"/>
        </w:rPr>
        <w:t xml:space="preserve"> 0750-3390080</w:t>
      </w:r>
      <w:r>
        <w:rPr>
          <w:rFonts w:hint="eastAsia" w:asciiTheme="minorEastAsia" w:hAnsiTheme="minorEastAsia" w:eastAsiaTheme="minorEastAsia"/>
          <w:color w:val="auto"/>
          <w:sz w:val="24"/>
          <w:highlight w:val="none"/>
        </w:rPr>
        <w:t>。</w:t>
      </w:r>
    </w:p>
    <w:p>
      <w:pPr>
        <w:numPr>
          <w:ilvl w:val="0"/>
          <w:numId w:val="2"/>
        </w:numPr>
        <w:tabs>
          <w:tab w:val="left" w:pos="142"/>
          <w:tab w:val="left" w:pos="426"/>
          <w:tab w:val="left" w:pos="567"/>
          <w:tab w:val="clear" w:pos="425"/>
        </w:tabs>
        <w:snapToGrid w:val="0"/>
        <w:spacing w:line="360" w:lineRule="auto"/>
        <w:ind w:left="574" w:hanging="573" w:hangingChars="239"/>
        <w:rPr>
          <w:rFonts w:asciiTheme="minorEastAsia" w:hAnsiTheme="minorEastAsia" w:eastAsiaTheme="minorEastAsia"/>
          <w:bCs/>
          <w:strike/>
          <w:color w:val="auto"/>
          <w:sz w:val="24"/>
          <w:highlight w:val="none"/>
        </w:rPr>
      </w:pPr>
      <w:r>
        <w:rPr>
          <w:rFonts w:hint="eastAsia" w:asciiTheme="minorEastAsia" w:hAnsiTheme="minorEastAsia" w:eastAsiaTheme="minorEastAsia"/>
          <w:bCs/>
          <w:color w:val="auto"/>
          <w:sz w:val="24"/>
          <w:highlight w:val="none"/>
        </w:rPr>
        <w:t>符合资格的供应商应当在</w:t>
      </w:r>
      <w:r>
        <w:rPr>
          <w:rFonts w:hint="eastAsia" w:asciiTheme="minorEastAsia" w:hAnsiTheme="minorEastAsia" w:eastAsiaTheme="minorEastAsia"/>
          <w:bCs/>
          <w:color w:val="auto"/>
          <w:sz w:val="24"/>
          <w:highlight w:val="none"/>
          <w:lang w:val="en-US" w:eastAsia="zh-CN"/>
        </w:rPr>
        <w:t>2020</w:t>
      </w:r>
      <w:r>
        <w:rPr>
          <w:rFonts w:hint="eastAsia" w:asciiTheme="minorEastAsia" w:hAnsiTheme="minorEastAsia" w:eastAsiaTheme="minorEastAsia"/>
          <w:bCs/>
          <w:color w:val="auto"/>
          <w:sz w:val="24"/>
          <w:highlight w:val="none"/>
        </w:rPr>
        <w:t>年</w:t>
      </w:r>
      <w:r>
        <w:rPr>
          <w:rFonts w:hint="eastAsia" w:asciiTheme="minorEastAsia" w:hAnsiTheme="minorEastAsia" w:eastAsiaTheme="minorEastAsia"/>
          <w:bCs/>
          <w:color w:val="auto"/>
          <w:sz w:val="24"/>
          <w:highlight w:val="none"/>
          <w:lang w:val="en-US" w:eastAsia="zh-CN"/>
        </w:rPr>
        <w:t>04</w:t>
      </w:r>
      <w:r>
        <w:rPr>
          <w:rFonts w:hint="eastAsia" w:asciiTheme="minorEastAsia" w:hAnsiTheme="minorEastAsia" w:eastAsiaTheme="minorEastAsia"/>
          <w:bCs/>
          <w:color w:val="auto"/>
          <w:sz w:val="24"/>
          <w:highlight w:val="none"/>
        </w:rPr>
        <w:t>月</w:t>
      </w:r>
      <w:r>
        <w:rPr>
          <w:rFonts w:hint="eastAsia" w:asciiTheme="minorEastAsia" w:hAnsiTheme="minorEastAsia" w:eastAsiaTheme="minorEastAsia"/>
          <w:bCs/>
          <w:color w:val="auto"/>
          <w:sz w:val="24"/>
          <w:highlight w:val="none"/>
          <w:lang w:val="en-US" w:eastAsia="zh-CN"/>
        </w:rPr>
        <w:t>24</w:t>
      </w:r>
      <w:r>
        <w:rPr>
          <w:rFonts w:hint="eastAsia" w:asciiTheme="minorEastAsia" w:hAnsiTheme="minorEastAsia" w:eastAsiaTheme="minorEastAsia"/>
          <w:bCs/>
          <w:color w:val="auto"/>
          <w:sz w:val="24"/>
          <w:highlight w:val="none"/>
        </w:rPr>
        <w:t>日至</w:t>
      </w:r>
      <w:r>
        <w:rPr>
          <w:rFonts w:hint="eastAsia" w:asciiTheme="minorEastAsia" w:hAnsiTheme="minorEastAsia" w:eastAsiaTheme="minorEastAsia"/>
          <w:bCs/>
          <w:color w:val="auto"/>
          <w:sz w:val="24"/>
          <w:highlight w:val="none"/>
          <w:lang w:val="en-US" w:eastAsia="zh-CN"/>
        </w:rPr>
        <w:t>2020</w:t>
      </w:r>
      <w:r>
        <w:rPr>
          <w:rFonts w:hint="eastAsia" w:asciiTheme="minorEastAsia" w:hAnsiTheme="minorEastAsia" w:eastAsiaTheme="minorEastAsia"/>
          <w:bCs/>
          <w:color w:val="auto"/>
          <w:sz w:val="24"/>
          <w:highlight w:val="none"/>
        </w:rPr>
        <w:t>年</w:t>
      </w:r>
      <w:r>
        <w:rPr>
          <w:rFonts w:hint="eastAsia" w:asciiTheme="minorEastAsia" w:hAnsiTheme="minorEastAsia" w:eastAsiaTheme="minorEastAsia"/>
          <w:bCs/>
          <w:color w:val="auto"/>
          <w:sz w:val="24"/>
          <w:highlight w:val="none"/>
          <w:lang w:val="en-US" w:eastAsia="zh-CN"/>
        </w:rPr>
        <w:t>04</w:t>
      </w:r>
      <w:r>
        <w:rPr>
          <w:rFonts w:hint="eastAsia" w:asciiTheme="minorEastAsia" w:hAnsiTheme="minorEastAsia" w:eastAsiaTheme="minorEastAsia"/>
          <w:bCs/>
          <w:color w:val="auto"/>
          <w:sz w:val="24"/>
          <w:highlight w:val="none"/>
        </w:rPr>
        <w:t>月</w:t>
      </w:r>
      <w:r>
        <w:rPr>
          <w:rFonts w:hint="eastAsia" w:asciiTheme="minorEastAsia" w:hAnsiTheme="minorEastAsia" w:eastAsiaTheme="minorEastAsia"/>
          <w:bCs/>
          <w:color w:val="auto"/>
          <w:sz w:val="24"/>
          <w:highlight w:val="none"/>
          <w:lang w:val="en-US" w:eastAsia="zh-CN"/>
        </w:rPr>
        <w:t>30</w:t>
      </w:r>
      <w:r>
        <w:rPr>
          <w:rFonts w:hint="eastAsia" w:asciiTheme="minorEastAsia" w:hAnsiTheme="minorEastAsia" w:eastAsiaTheme="minorEastAsia"/>
          <w:bCs/>
          <w:color w:val="auto"/>
          <w:sz w:val="24"/>
          <w:highlight w:val="none"/>
        </w:rPr>
        <w:t>日期间（上午09:00至12:00,下午14:30至17:30，法定节假日除外，不少于5个工作日）到广东采联采购科技有限公司（详细地址：详见上述招标文件获取方式的线上链接地址）获取招标文件，招标文件每套售价</w:t>
      </w:r>
      <w:r>
        <w:rPr>
          <w:rFonts w:hint="eastAsia" w:asciiTheme="minorEastAsia" w:hAnsiTheme="minorEastAsia" w:eastAsiaTheme="minorEastAsia"/>
          <w:bCs/>
          <w:color w:val="auto"/>
          <w:sz w:val="24"/>
          <w:highlight w:val="none"/>
          <w:u w:val="single"/>
        </w:rPr>
        <w:t>150.00</w:t>
      </w:r>
      <w:r>
        <w:rPr>
          <w:rFonts w:hint="eastAsia" w:asciiTheme="minorEastAsia" w:hAnsiTheme="minorEastAsia" w:eastAsiaTheme="minorEastAsia"/>
          <w:bCs/>
          <w:color w:val="auto"/>
          <w:sz w:val="24"/>
          <w:highlight w:val="none"/>
        </w:rPr>
        <w:t>元（人民币），售后不退。</w:t>
      </w:r>
    </w:p>
    <w:p>
      <w:pPr>
        <w:numPr>
          <w:ilvl w:val="0"/>
          <w:numId w:val="2"/>
        </w:numPr>
        <w:tabs>
          <w:tab w:val="left" w:pos="142"/>
          <w:tab w:val="left" w:pos="426"/>
          <w:tab w:val="clear" w:pos="425"/>
        </w:tabs>
        <w:snapToGrid w:val="0"/>
        <w:spacing w:line="360" w:lineRule="auto"/>
        <w:ind w:left="0" w:firstLine="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投标截止时间：</w:t>
      </w:r>
      <w:r>
        <w:rPr>
          <w:rFonts w:hint="eastAsia" w:asciiTheme="minorEastAsia" w:hAnsiTheme="minorEastAsia" w:eastAsiaTheme="minorEastAsia"/>
          <w:bCs/>
          <w:color w:val="auto"/>
          <w:sz w:val="24"/>
          <w:highlight w:val="none"/>
          <w:lang w:val="en-US" w:eastAsia="zh-CN"/>
        </w:rPr>
        <w:t>2020</w:t>
      </w:r>
      <w:r>
        <w:rPr>
          <w:rFonts w:hint="eastAsia" w:asciiTheme="minorEastAsia" w:hAnsiTheme="minorEastAsia" w:eastAsiaTheme="minorEastAsia"/>
          <w:bCs/>
          <w:color w:val="auto"/>
          <w:sz w:val="24"/>
          <w:highlight w:val="none"/>
        </w:rPr>
        <w:t>年</w:t>
      </w:r>
      <w:r>
        <w:rPr>
          <w:rFonts w:hint="eastAsia" w:asciiTheme="minorEastAsia" w:hAnsiTheme="minorEastAsia" w:eastAsiaTheme="minorEastAsia"/>
          <w:bCs/>
          <w:color w:val="auto"/>
          <w:sz w:val="24"/>
          <w:highlight w:val="none"/>
          <w:lang w:val="en-US" w:eastAsia="zh-CN"/>
        </w:rPr>
        <w:t>05</w:t>
      </w:r>
      <w:r>
        <w:rPr>
          <w:rFonts w:hint="eastAsia" w:asciiTheme="minorEastAsia" w:hAnsiTheme="minorEastAsia" w:eastAsiaTheme="minorEastAsia"/>
          <w:bCs/>
          <w:color w:val="auto"/>
          <w:sz w:val="24"/>
          <w:highlight w:val="none"/>
        </w:rPr>
        <w:t>月</w:t>
      </w:r>
      <w:r>
        <w:rPr>
          <w:rFonts w:hint="eastAsia" w:asciiTheme="minorEastAsia" w:hAnsiTheme="minorEastAsia" w:eastAsiaTheme="minorEastAsia"/>
          <w:bCs/>
          <w:color w:val="auto"/>
          <w:sz w:val="24"/>
          <w:highlight w:val="none"/>
          <w:lang w:val="en-US" w:eastAsia="zh-CN"/>
        </w:rPr>
        <w:t>15</w:t>
      </w:r>
      <w:r>
        <w:rPr>
          <w:rFonts w:hint="eastAsia" w:asciiTheme="minorEastAsia" w:hAnsiTheme="minorEastAsia" w:eastAsiaTheme="minorEastAsia"/>
          <w:bCs/>
          <w:color w:val="auto"/>
          <w:sz w:val="24"/>
          <w:highlight w:val="none"/>
        </w:rPr>
        <w:t>日</w:t>
      </w:r>
      <w:r>
        <w:rPr>
          <w:rFonts w:hint="eastAsia" w:asciiTheme="minorEastAsia" w:hAnsiTheme="minorEastAsia" w:eastAsiaTheme="minorEastAsia"/>
          <w:bCs/>
          <w:color w:val="auto"/>
          <w:sz w:val="24"/>
          <w:highlight w:val="none"/>
          <w:lang w:val="en-US" w:eastAsia="zh-CN"/>
        </w:rPr>
        <w:t>10</w:t>
      </w:r>
      <w:r>
        <w:rPr>
          <w:rFonts w:hint="eastAsia" w:asciiTheme="minorEastAsia" w:hAnsiTheme="minorEastAsia" w:eastAsiaTheme="minorEastAsia"/>
          <w:bCs/>
          <w:color w:val="auto"/>
          <w:sz w:val="24"/>
          <w:highlight w:val="none"/>
        </w:rPr>
        <w:t>时</w:t>
      </w:r>
      <w:r>
        <w:rPr>
          <w:rFonts w:hint="eastAsia" w:asciiTheme="minorEastAsia" w:hAnsiTheme="minorEastAsia" w:eastAsiaTheme="minorEastAsia"/>
          <w:bCs/>
          <w:color w:val="auto"/>
          <w:sz w:val="24"/>
          <w:highlight w:val="none"/>
          <w:lang w:val="en-US" w:eastAsia="zh-CN"/>
        </w:rPr>
        <w:t>00</w:t>
      </w:r>
      <w:r>
        <w:rPr>
          <w:rFonts w:hint="eastAsia" w:asciiTheme="minorEastAsia" w:hAnsiTheme="minorEastAsia" w:eastAsiaTheme="minorEastAsia"/>
          <w:bCs/>
          <w:color w:val="auto"/>
          <w:sz w:val="24"/>
          <w:highlight w:val="none"/>
        </w:rPr>
        <w:t>分。</w:t>
      </w:r>
    </w:p>
    <w:p>
      <w:pPr>
        <w:numPr>
          <w:ilvl w:val="0"/>
          <w:numId w:val="2"/>
        </w:numPr>
        <w:tabs>
          <w:tab w:val="left" w:pos="142"/>
          <w:tab w:val="left" w:pos="426"/>
          <w:tab w:val="clear" w:pos="425"/>
        </w:tabs>
        <w:snapToGrid w:val="0"/>
        <w:spacing w:line="360" w:lineRule="auto"/>
        <w:ind w:left="0" w:firstLine="0"/>
        <w:rPr>
          <w:rFonts w:asciiTheme="minorEastAsia" w:hAnsiTheme="minorEastAsia" w:eastAsiaTheme="minorEastAsia"/>
          <w:bCs/>
          <w:color w:val="auto"/>
          <w:sz w:val="24"/>
          <w:highlight w:val="none"/>
          <w:u w:val="single"/>
        </w:rPr>
      </w:pPr>
      <w:r>
        <w:rPr>
          <w:rFonts w:hint="eastAsia" w:asciiTheme="minorEastAsia" w:hAnsiTheme="minorEastAsia" w:eastAsiaTheme="minorEastAsia"/>
          <w:bCs/>
          <w:color w:val="auto"/>
          <w:sz w:val="24"/>
          <w:highlight w:val="none"/>
        </w:rPr>
        <w:t>提交投标文件地点：</w:t>
      </w:r>
      <w:r>
        <w:rPr>
          <w:rFonts w:hint="eastAsia" w:asciiTheme="minorEastAsia" w:hAnsiTheme="minorEastAsia" w:eastAsiaTheme="minorEastAsia"/>
          <w:bCs/>
          <w:color w:val="auto"/>
          <w:sz w:val="24"/>
          <w:highlight w:val="none"/>
          <w:u w:val="single"/>
        </w:rPr>
        <w:t>江门市公共资源交易中心开平分中心开标会议室（地址：开平市长沙东兴大道爱民路2号开平市东兴大厦3楼（开平市人民政府行政服务中心内））</w:t>
      </w:r>
    </w:p>
    <w:p>
      <w:pPr>
        <w:numPr>
          <w:ilvl w:val="0"/>
          <w:numId w:val="2"/>
        </w:numPr>
        <w:tabs>
          <w:tab w:val="left" w:pos="142"/>
        </w:tabs>
        <w:snapToGrid w:val="0"/>
        <w:spacing w:line="360" w:lineRule="auto"/>
        <w:ind w:left="0" w:firstLine="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开标时间：</w:t>
      </w:r>
      <w:r>
        <w:rPr>
          <w:rFonts w:hint="eastAsia" w:asciiTheme="minorEastAsia" w:hAnsiTheme="minorEastAsia" w:eastAsiaTheme="minorEastAsia"/>
          <w:bCs/>
          <w:color w:val="auto"/>
          <w:sz w:val="24"/>
          <w:highlight w:val="none"/>
          <w:lang w:val="en-US" w:eastAsia="zh-CN"/>
        </w:rPr>
        <w:t>2020</w:t>
      </w:r>
      <w:r>
        <w:rPr>
          <w:rFonts w:hint="eastAsia" w:asciiTheme="minorEastAsia" w:hAnsiTheme="minorEastAsia" w:eastAsiaTheme="minorEastAsia"/>
          <w:bCs/>
          <w:color w:val="auto"/>
          <w:sz w:val="24"/>
          <w:highlight w:val="none"/>
        </w:rPr>
        <w:t>年</w:t>
      </w:r>
      <w:r>
        <w:rPr>
          <w:rFonts w:hint="eastAsia" w:asciiTheme="minorEastAsia" w:hAnsiTheme="minorEastAsia" w:eastAsiaTheme="minorEastAsia"/>
          <w:bCs/>
          <w:color w:val="auto"/>
          <w:sz w:val="24"/>
          <w:highlight w:val="none"/>
          <w:lang w:val="en-US" w:eastAsia="zh-CN"/>
        </w:rPr>
        <w:t>05</w:t>
      </w:r>
      <w:r>
        <w:rPr>
          <w:rFonts w:hint="eastAsia" w:asciiTheme="minorEastAsia" w:hAnsiTheme="minorEastAsia" w:eastAsiaTheme="minorEastAsia"/>
          <w:bCs/>
          <w:color w:val="auto"/>
          <w:sz w:val="24"/>
          <w:highlight w:val="none"/>
        </w:rPr>
        <w:t>月</w:t>
      </w:r>
      <w:r>
        <w:rPr>
          <w:rFonts w:hint="eastAsia" w:asciiTheme="minorEastAsia" w:hAnsiTheme="minorEastAsia" w:eastAsiaTheme="minorEastAsia"/>
          <w:bCs/>
          <w:color w:val="auto"/>
          <w:sz w:val="24"/>
          <w:highlight w:val="none"/>
          <w:lang w:val="en-US" w:eastAsia="zh-CN"/>
        </w:rPr>
        <w:t>15</w:t>
      </w:r>
      <w:r>
        <w:rPr>
          <w:rFonts w:hint="eastAsia" w:asciiTheme="minorEastAsia" w:hAnsiTheme="minorEastAsia" w:eastAsiaTheme="minorEastAsia"/>
          <w:bCs/>
          <w:color w:val="auto"/>
          <w:sz w:val="24"/>
          <w:highlight w:val="none"/>
        </w:rPr>
        <w:t>日</w:t>
      </w:r>
      <w:r>
        <w:rPr>
          <w:rFonts w:hint="eastAsia" w:asciiTheme="minorEastAsia" w:hAnsiTheme="minorEastAsia" w:eastAsiaTheme="minorEastAsia"/>
          <w:bCs/>
          <w:color w:val="auto"/>
          <w:sz w:val="24"/>
          <w:highlight w:val="none"/>
          <w:lang w:val="en-US" w:eastAsia="zh-CN"/>
        </w:rPr>
        <w:t>10</w:t>
      </w:r>
      <w:r>
        <w:rPr>
          <w:rFonts w:hint="eastAsia" w:asciiTheme="minorEastAsia" w:hAnsiTheme="minorEastAsia" w:eastAsiaTheme="minorEastAsia"/>
          <w:bCs/>
          <w:color w:val="auto"/>
          <w:sz w:val="24"/>
          <w:highlight w:val="none"/>
        </w:rPr>
        <w:t>时</w:t>
      </w:r>
      <w:r>
        <w:rPr>
          <w:rFonts w:hint="eastAsia" w:asciiTheme="minorEastAsia" w:hAnsiTheme="minorEastAsia" w:eastAsiaTheme="minorEastAsia"/>
          <w:bCs/>
          <w:color w:val="auto"/>
          <w:sz w:val="24"/>
          <w:highlight w:val="none"/>
          <w:lang w:val="en-US" w:eastAsia="zh-CN"/>
        </w:rPr>
        <w:t>00</w:t>
      </w:r>
      <w:r>
        <w:rPr>
          <w:rFonts w:hint="eastAsia" w:asciiTheme="minorEastAsia" w:hAnsiTheme="minorEastAsia" w:eastAsiaTheme="minorEastAsia"/>
          <w:bCs/>
          <w:color w:val="auto"/>
          <w:sz w:val="24"/>
          <w:highlight w:val="none"/>
        </w:rPr>
        <w:t>分。</w:t>
      </w:r>
      <w:bookmarkStart w:id="135" w:name="_GoBack"/>
      <w:bookmarkEnd w:id="135"/>
    </w:p>
    <w:p>
      <w:pPr>
        <w:numPr>
          <w:ilvl w:val="0"/>
          <w:numId w:val="2"/>
        </w:numPr>
        <w:tabs>
          <w:tab w:val="left" w:pos="142"/>
        </w:tabs>
        <w:snapToGrid w:val="0"/>
        <w:spacing w:line="360" w:lineRule="auto"/>
        <w:ind w:left="0" w:firstLine="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开标地点：</w:t>
      </w:r>
      <w:r>
        <w:rPr>
          <w:rFonts w:hint="eastAsia" w:asciiTheme="minorEastAsia" w:hAnsiTheme="minorEastAsia" w:eastAsiaTheme="minorEastAsia"/>
          <w:bCs/>
          <w:color w:val="auto"/>
          <w:sz w:val="24"/>
          <w:highlight w:val="none"/>
          <w:u w:val="single"/>
        </w:rPr>
        <w:t>江门市公共资源交易中心开平分中心开标会议室（地址：开平市长沙东兴大道爱民路2号开平市东兴大厦3楼（开平市人民政府行政服务中心内））</w:t>
      </w:r>
    </w:p>
    <w:p>
      <w:pPr>
        <w:numPr>
          <w:ilvl w:val="0"/>
          <w:numId w:val="2"/>
        </w:numPr>
        <w:tabs>
          <w:tab w:val="left" w:pos="142"/>
        </w:tabs>
        <w:snapToGrid w:val="0"/>
        <w:spacing w:line="360" w:lineRule="auto"/>
        <w:ind w:left="0" w:firstLine="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本公告期限（5个工作日）自</w:t>
      </w:r>
      <w:r>
        <w:rPr>
          <w:rFonts w:hint="eastAsia" w:asciiTheme="minorEastAsia" w:hAnsiTheme="minorEastAsia" w:eastAsiaTheme="minorEastAsia"/>
          <w:bCs/>
          <w:color w:val="auto"/>
          <w:sz w:val="24"/>
          <w:highlight w:val="none"/>
          <w:lang w:val="en-US" w:eastAsia="zh-CN"/>
        </w:rPr>
        <w:t>2020</w:t>
      </w:r>
      <w:r>
        <w:rPr>
          <w:rFonts w:hint="eastAsia" w:asciiTheme="minorEastAsia" w:hAnsiTheme="minorEastAsia" w:eastAsiaTheme="minorEastAsia"/>
          <w:bCs/>
          <w:color w:val="auto"/>
          <w:sz w:val="24"/>
          <w:highlight w:val="none"/>
        </w:rPr>
        <w:t>年</w:t>
      </w:r>
      <w:r>
        <w:rPr>
          <w:rFonts w:hint="eastAsia" w:asciiTheme="minorEastAsia" w:hAnsiTheme="minorEastAsia" w:eastAsiaTheme="minorEastAsia"/>
          <w:bCs/>
          <w:color w:val="auto"/>
          <w:sz w:val="24"/>
          <w:highlight w:val="none"/>
          <w:lang w:val="en-US" w:eastAsia="zh-CN"/>
        </w:rPr>
        <w:t>04</w:t>
      </w:r>
      <w:r>
        <w:rPr>
          <w:rFonts w:hint="eastAsia" w:asciiTheme="minorEastAsia" w:hAnsiTheme="minorEastAsia" w:eastAsiaTheme="minorEastAsia"/>
          <w:bCs/>
          <w:color w:val="auto"/>
          <w:sz w:val="24"/>
          <w:highlight w:val="none"/>
        </w:rPr>
        <w:t>月</w:t>
      </w:r>
      <w:r>
        <w:rPr>
          <w:rFonts w:hint="eastAsia" w:asciiTheme="minorEastAsia" w:hAnsiTheme="minorEastAsia" w:eastAsiaTheme="minorEastAsia"/>
          <w:bCs/>
          <w:color w:val="auto"/>
          <w:sz w:val="24"/>
          <w:highlight w:val="none"/>
          <w:lang w:val="en-US" w:eastAsia="zh-CN"/>
        </w:rPr>
        <w:t>25</w:t>
      </w:r>
      <w:r>
        <w:rPr>
          <w:rFonts w:hint="eastAsia" w:asciiTheme="minorEastAsia" w:hAnsiTheme="minorEastAsia" w:eastAsiaTheme="minorEastAsia"/>
          <w:bCs/>
          <w:color w:val="auto"/>
          <w:sz w:val="24"/>
          <w:highlight w:val="none"/>
        </w:rPr>
        <w:t>日至</w:t>
      </w:r>
      <w:r>
        <w:rPr>
          <w:rFonts w:hint="eastAsia" w:asciiTheme="minorEastAsia" w:hAnsiTheme="minorEastAsia" w:eastAsiaTheme="minorEastAsia"/>
          <w:bCs/>
          <w:color w:val="auto"/>
          <w:sz w:val="24"/>
          <w:highlight w:val="none"/>
          <w:lang w:val="en-US" w:eastAsia="zh-CN"/>
        </w:rPr>
        <w:t>2020</w:t>
      </w:r>
      <w:r>
        <w:rPr>
          <w:rFonts w:hint="eastAsia" w:asciiTheme="minorEastAsia" w:hAnsiTheme="minorEastAsia" w:eastAsiaTheme="minorEastAsia"/>
          <w:bCs/>
          <w:color w:val="auto"/>
          <w:sz w:val="24"/>
          <w:highlight w:val="none"/>
        </w:rPr>
        <w:t>年</w:t>
      </w:r>
      <w:r>
        <w:rPr>
          <w:rFonts w:hint="eastAsia" w:asciiTheme="minorEastAsia" w:hAnsiTheme="minorEastAsia" w:eastAsiaTheme="minorEastAsia"/>
          <w:bCs/>
          <w:color w:val="auto"/>
          <w:sz w:val="24"/>
          <w:highlight w:val="none"/>
          <w:lang w:val="en-US" w:eastAsia="zh-CN"/>
        </w:rPr>
        <w:t>04</w:t>
      </w:r>
      <w:r>
        <w:rPr>
          <w:rFonts w:hint="eastAsia" w:asciiTheme="minorEastAsia" w:hAnsiTheme="minorEastAsia" w:eastAsiaTheme="minorEastAsia"/>
          <w:bCs/>
          <w:color w:val="auto"/>
          <w:sz w:val="24"/>
          <w:highlight w:val="none"/>
        </w:rPr>
        <w:t>月</w:t>
      </w:r>
      <w:r>
        <w:rPr>
          <w:rFonts w:hint="eastAsia" w:asciiTheme="minorEastAsia" w:hAnsiTheme="minorEastAsia" w:eastAsiaTheme="minorEastAsia"/>
          <w:bCs/>
          <w:color w:val="auto"/>
          <w:sz w:val="24"/>
          <w:highlight w:val="none"/>
          <w:lang w:val="en-US" w:eastAsia="zh-CN"/>
        </w:rPr>
        <w:t>30</w:t>
      </w:r>
      <w:r>
        <w:rPr>
          <w:rFonts w:hint="eastAsia" w:asciiTheme="minorEastAsia" w:hAnsiTheme="minorEastAsia" w:eastAsiaTheme="minorEastAsia"/>
          <w:bCs/>
          <w:color w:val="auto"/>
          <w:sz w:val="24"/>
          <w:highlight w:val="none"/>
        </w:rPr>
        <w:t>日止。</w:t>
      </w:r>
    </w:p>
    <w:p>
      <w:pPr>
        <w:numPr>
          <w:ilvl w:val="0"/>
          <w:numId w:val="2"/>
        </w:numPr>
        <w:tabs>
          <w:tab w:val="left" w:pos="142"/>
        </w:tabs>
        <w:snapToGrid w:val="0"/>
        <w:spacing w:line="360" w:lineRule="auto"/>
        <w:ind w:left="0" w:firstLine="0"/>
        <w:rPr>
          <w:rFonts w:cs="宋体" w:asciiTheme="minorEastAsia" w:hAnsiTheme="minorEastAsia" w:eastAsiaTheme="minorEastAsia"/>
          <w:bCs/>
          <w:color w:val="auto"/>
          <w:sz w:val="24"/>
          <w:highlight w:val="none"/>
        </w:rPr>
      </w:pPr>
      <w:r>
        <w:rPr>
          <w:rFonts w:asciiTheme="minorEastAsia" w:hAnsiTheme="minorEastAsia" w:eastAsiaTheme="minorEastAsia"/>
          <w:color w:val="auto"/>
          <w:sz w:val="24"/>
          <w:highlight w:val="none"/>
        </w:rPr>
        <w:t>联系</w:t>
      </w:r>
      <w:r>
        <w:rPr>
          <w:rFonts w:hint="eastAsia" w:asciiTheme="minorEastAsia" w:hAnsiTheme="minorEastAsia" w:eastAsiaTheme="minorEastAsia"/>
          <w:color w:val="auto"/>
          <w:sz w:val="24"/>
          <w:highlight w:val="none"/>
        </w:rPr>
        <w:t>事项：</w:t>
      </w:r>
    </w:p>
    <w:tbl>
      <w:tblPr>
        <w:tblStyle w:val="16"/>
        <w:tblW w:w="10251" w:type="dxa"/>
        <w:tblCellSpacing w:w="15" w:type="dxa"/>
        <w:tblInd w:w="0" w:type="dxa"/>
        <w:shd w:val="clear" w:color="auto" w:fill="F8FCFF"/>
        <w:tblLayout w:type="autofit"/>
        <w:tblCellMar>
          <w:top w:w="15" w:type="dxa"/>
          <w:left w:w="15" w:type="dxa"/>
          <w:bottom w:w="15" w:type="dxa"/>
          <w:right w:w="15" w:type="dxa"/>
        </w:tblCellMar>
      </w:tblPr>
      <w:tblGrid>
        <w:gridCol w:w="5432"/>
        <w:gridCol w:w="4819"/>
      </w:tblGrid>
      <w:tr>
        <w:tblPrEx>
          <w:shd w:val="clear" w:color="auto" w:fill="F8FCFF"/>
          <w:tblCellMar>
            <w:top w:w="15" w:type="dxa"/>
            <w:left w:w="15" w:type="dxa"/>
            <w:bottom w:w="15" w:type="dxa"/>
            <w:right w:w="15" w:type="dxa"/>
          </w:tblCellMar>
        </w:tblPrEx>
        <w:trPr>
          <w:trHeight w:val="445" w:hRule="atLeast"/>
          <w:tblCellSpacing w:w="15" w:type="dxa"/>
        </w:trPr>
        <w:tc>
          <w:tcPr>
            <w:tcW w:w="5387" w:type="dxa"/>
            <w:shd w:val="clear" w:color="auto" w:fill="F8FCFF"/>
            <w:vAlign w:val="center"/>
          </w:tcPr>
          <w:p>
            <w:pPr>
              <w:pStyle w:val="25"/>
              <w:snapToGrid w:val="0"/>
              <w:spacing w:line="360" w:lineRule="auto"/>
              <w:ind w:left="588" w:right="106" w:rightChars="53" w:hanging="588" w:hangingChars="24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(一)采购项目联系人（采购代理机构）：</w:t>
            </w:r>
            <w:r>
              <w:rPr>
                <w:rFonts w:hint="eastAsia" w:asciiTheme="minorEastAsia" w:hAnsiTheme="minorEastAsia" w:eastAsiaTheme="minorEastAsia"/>
                <w:color w:val="auto"/>
                <w:sz w:val="24"/>
                <w:highlight w:val="none"/>
                <w:u w:val="single"/>
              </w:rPr>
              <w:t>黄女士</w:t>
            </w:r>
          </w:p>
        </w:tc>
        <w:tc>
          <w:tcPr>
            <w:tcW w:w="4774" w:type="dxa"/>
            <w:shd w:val="clear" w:color="auto" w:fill="F8FCFF"/>
            <w:vAlign w:val="center"/>
          </w:tcPr>
          <w:p>
            <w:pPr>
              <w:pStyle w:val="25"/>
              <w:tabs>
                <w:tab w:val="left" w:pos="851"/>
              </w:tabs>
              <w:snapToGrid w:val="0"/>
              <w:spacing w:line="360" w:lineRule="auto"/>
              <w:ind w:left="0" w:firstLine="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联系电话：</w:t>
            </w:r>
            <w:r>
              <w:rPr>
                <w:rFonts w:hint="eastAsia" w:asciiTheme="minorEastAsia" w:hAnsiTheme="minorEastAsia" w:eastAsiaTheme="minorEastAsia"/>
                <w:color w:val="auto"/>
                <w:sz w:val="24"/>
                <w:highlight w:val="none"/>
                <w:u w:val="single"/>
              </w:rPr>
              <w:t>0750-3390080</w:t>
            </w:r>
          </w:p>
        </w:tc>
      </w:tr>
      <w:tr>
        <w:tblPrEx>
          <w:tblCellMar>
            <w:top w:w="15" w:type="dxa"/>
            <w:left w:w="15" w:type="dxa"/>
            <w:bottom w:w="15" w:type="dxa"/>
            <w:right w:w="15" w:type="dxa"/>
          </w:tblCellMar>
        </w:tblPrEx>
        <w:trPr>
          <w:trHeight w:val="445" w:hRule="atLeast"/>
          <w:tblCellSpacing w:w="15" w:type="dxa"/>
        </w:trPr>
        <w:tc>
          <w:tcPr>
            <w:tcW w:w="5387" w:type="dxa"/>
            <w:shd w:val="clear" w:color="auto" w:fill="F8FCFF"/>
            <w:vAlign w:val="center"/>
          </w:tcPr>
          <w:p>
            <w:pPr>
              <w:pStyle w:val="25"/>
              <w:tabs>
                <w:tab w:val="left" w:pos="851"/>
              </w:tabs>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采购项目联系人（采购人）：</w:t>
            </w:r>
            <w:r>
              <w:rPr>
                <w:rFonts w:hint="eastAsia" w:asciiTheme="minorEastAsia" w:hAnsiTheme="minorEastAsia" w:eastAsiaTheme="minorEastAsia"/>
                <w:color w:val="auto"/>
                <w:sz w:val="24"/>
                <w:highlight w:val="none"/>
                <w:u w:val="single"/>
              </w:rPr>
              <w:t>许女士</w:t>
            </w:r>
          </w:p>
        </w:tc>
        <w:tc>
          <w:tcPr>
            <w:tcW w:w="4774" w:type="dxa"/>
            <w:shd w:val="clear" w:color="auto" w:fill="F8FCFF"/>
            <w:vAlign w:val="center"/>
          </w:tcPr>
          <w:p>
            <w:pPr>
              <w:pStyle w:val="25"/>
              <w:tabs>
                <w:tab w:val="left" w:pos="851"/>
              </w:tabs>
              <w:snapToGrid w:val="0"/>
              <w:spacing w:line="360" w:lineRule="auto"/>
              <w:ind w:left="0" w:firstLine="0"/>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rPr>
              <w:t>联系电话：</w:t>
            </w:r>
            <w:r>
              <w:rPr>
                <w:rFonts w:hint="eastAsia" w:asciiTheme="minorEastAsia" w:hAnsiTheme="minorEastAsia" w:eastAsiaTheme="minorEastAsia"/>
                <w:color w:val="auto"/>
                <w:sz w:val="24"/>
                <w:highlight w:val="none"/>
                <w:u w:val="single"/>
                <w:lang w:val="en-US" w:eastAsia="zh-CN"/>
              </w:rPr>
              <w:t>0750-2235126</w:t>
            </w:r>
          </w:p>
        </w:tc>
      </w:tr>
      <w:tr>
        <w:tblPrEx>
          <w:tblCellMar>
            <w:top w:w="15" w:type="dxa"/>
            <w:left w:w="15" w:type="dxa"/>
            <w:bottom w:w="15" w:type="dxa"/>
            <w:right w:w="15" w:type="dxa"/>
          </w:tblCellMar>
        </w:tblPrEx>
        <w:trPr>
          <w:trHeight w:val="445" w:hRule="atLeast"/>
          <w:tblCellSpacing w:w="15" w:type="dxa"/>
        </w:trPr>
        <w:tc>
          <w:tcPr>
            <w:tcW w:w="5387" w:type="dxa"/>
            <w:shd w:val="clear" w:color="auto" w:fill="F8FCFF"/>
          </w:tcPr>
          <w:p>
            <w:pPr>
              <w:pStyle w:val="25"/>
              <w:snapToGrid w:val="0"/>
              <w:ind w:left="588" w:right="106" w:rightChars="53" w:hanging="588" w:hangingChars="24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(二)采购代理机构：</w:t>
            </w:r>
            <w:r>
              <w:rPr>
                <w:rFonts w:hint="eastAsia" w:asciiTheme="minorEastAsia" w:hAnsiTheme="minorEastAsia" w:eastAsiaTheme="minorEastAsia"/>
                <w:color w:val="auto"/>
                <w:sz w:val="24"/>
                <w:highlight w:val="none"/>
                <w:u w:val="single"/>
              </w:rPr>
              <w:t>广东采联采购科技有限公司</w:t>
            </w:r>
          </w:p>
        </w:tc>
        <w:tc>
          <w:tcPr>
            <w:tcW w:w="4774" w:type="dxa"/>
            <w:shd w:val="clear" w:color="auto" w:fill="F8FCFF"/>
            <w:vAlign w:val="center"/>
          </w:tcPr>
          <w:p>
            <w:pPr>
              <w:pStyle w:val="25"/>
              <w:tabs>
                <w:tab w:val="left" w:pos="851"/>
              </w:tabs>
              <w:snapToGrid w:val="0"/>
              <w:ind w:left="0" w:firstLine="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地址：</w:t>
            </w:r>
            <w:r>
              <w:rPr>
                <w:rFonts w:hint="eastAsia" w:asciiTheme="minorEastAsia" w:hAnsiTheme="minorEastAsia" w:eastAsiaTheme="minorEastAsia"/>
                <w:color w:val="auto"/>
                <w:sz w:val="24"/>
                <w:highlight w:val="none"/>
                <w:u w:val="single"/>
              </w:rPr>
              <w:t>广州市环市东路472号粤海大厦23楼</w:t>
            </w:r>
          </w:p>
        </w:tc>
      </w:tr>
      <w:tr>
        <w:tblPrEx>
          <w:tblCellMar>
            <w:top w:w="15" w:type="dxa"/>
            <w:left w:w="15" w:type="dxa"/>
            <w:bottom w:w="15" w:type="dxa"/>
            <w:right w:w="15" w:type="dxa"/>
          </w:tblCellMar>
        </w:tblPrEx>
        <w:trPr>
          <w:trHeight w:val="445" w:hRule="atLeast"/>
          <w:tblCellSpacing w:w="15" w:type="dxa"/>
        </w:trPr>
        <w:tc>
          <w:tcPr>
            <w:tcW w:w="5387" w:type="dxa"/>
            <w:shd w:val="clear" w:color="auto" w:fill="F8FCFF"/>
            <w:vAlign w:val="center"/>
          </w:tcPr>
          <w:p>
            <w:pPr>
              <w:pStyle w:val="25"/>
              <w:tabs>
                <w:tab w:val="left" w:pos="851"/>
              </w:tabs>
              <w:snapToGrid w:val="0"/>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联系人：</w:t>
            </w:r>
            <w:r>
              <w:rPr>
                <w:rFonts w:hint="eastAsia" w:asciiTheme="minorEastAsia" w:hAnsiTheme="minorEastAsia" w:eastAsiaTheme="minorEastAsia"/>
                <w:color w:val="auto"/>
                <w:sz w:val="24"/>
                <w:highlight w:val="none"/>
                <w:u w:val="single"/>
              </w:rPr>
              <w:t>梁群燕</w:t>
            </w:r>
          </w:p>
        </w:tc>
        <w:tc>
          <w:tcPr>
            <w:tcW w:w="4774" w:type="dxa"/>
            <w:shd w:val="clear" w:color="auto" w:fill="F8FCFF"/>
            <w:vAlign w:val="center"/>
          </w:tcPr>
          <w:p>
            <w:pPr>
              <w:pStyle w:val="25"/>
              <w:tabs>
                <w:tab w:val="left" w:pos="851"/>
              </w:tabs>
              <w:snapToGrid w:val="0"/>
              <w:ind w:left="0" w:firstLine="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联系电话：</w:t>
            </w:r>
            <w:r>
              <w:rPr>
                <w:rFonts w:hint="eastAsia" w:asciiTheme="minorEastAsia" w:hAnsiTheme="minorEastAsia" w:eastAsiaTheme="minorEastAsia"/>
                <w:color w:val="auto"/>
                <w:sz w:val="24"/>
                <w:highlight w:val="none"/>
                <w:u w:val="single"/>
              </w:rPr>
              <w:t>020-87651688-688</w:t>
            </w:r>
          </w:p>
        </w:tc>
      </w:tr>
      <w:tr>
        <w:tblPrEx>
          <w:tblCellMar>
            <w:top w:w="15" w:type="dxa"/>
            <w:left w:w="15" w:type="dxa"/>
            <w:bottom w:w="15" w:type="dxa"/>
            <w:right w:w="15" w:type="dxa"/>
          </w:tblCellMar>
        </w:tblPrEx>
        <w:trPr>
          <w:trHeight w:val="445" w:hRule="atLeast"/>
          <w:tblCellSpacing w:w="15" w:type="dxa"/>
        </w:trPr>
        <w:tc>
          <w:tcPr>
            <w:tcW w:w="5387" w:type="dxa"/>
            <w:shd w:val="clear" w:color="auto" w:fill="F8FCFF"/>
            <w:vAlign w:val="center"/>
          </w:tcPr>
          <w:p>
            <w:pPr>
              <w:pStyle w:val="25"/>
              <w:tabs>
                <w:tab w:val="left" w:pos="851"/>
              </w:tabs>
              <w:snapToGrid w:val="0"/>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传真：</w:t>
            </w:r>
            <w:r>
              <w:rPr>
                <w:rFonts w:hint="eastAsia" w:asciiTheme="minorEastAsia" w:hAnsiTheme="minorEastAsia" w:eastAsiaTheme="minorEastAsia"/>
                <w:color w:val="auto"/>
                <w:sz w:val="24"/>
                <w:highlight w:val="none"/>
                <w:u w:val="single"/>
              </w:rPr>
              <w:t>020-87651698</w:t>
            </w:r>
          </w:p>
        </w:tc>
        <w:tc>
          <w:tcPr>
            <w:tcW w:w="4774" w:type="dxa"/>
            <w:shd w:val="clear" w:color="auto" w:fill="F8FCFF"/>
            <w:vAlign w:val="center"/>
          </w:tcPr>
          <w:p>
            <w:pPr>
              <w:pStyle w:val="25"/>
              <w:tabs>
                <w:tab w:val="left" w:pos="851"/>
              </w:tabs>
              <w:snapToGrid w:val="0"/>
              <w:ind w:left="0" w:firstLine="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邮编：</w:t>
            </w:r>
            <w:r>
              <w:rPr>
                <w:rFonts w:hint="eastAsia" w:asciiTheme="minorEastAsia" w:hAnsiTheme="minorEastAsia" w:eastAsiaTheme="minorEastAsia"/>
                <w:color w:val="auto"/>
                <w:sz w:val="24"/>
                <w:highlight w:val="none"/>
                <w:u w:val="single"/>
              </w:rPr>
              <w:t>510075</w:t>
            </w:r>
          </w:p>
        </w:tc>
      </w:tr>
      <w:tr>
        <w:tblPrEx>
          <w:tblCellMar>
            <w:top w:w="15" w:type="dxa"/>
            <w:left w:w="15" w:type="dxa"/>
            <w:bottom w:w="15" w:type="dxa"/>
            <w:right w:w="15" w:type="dxa"/>
          </w:tblCellMar>
        </w:tblPrEx>
        <w:trPr>
          <w:trHeight w:val="445" w:hRule="atLeast"/>
          <w:tblCellSpacing w:w="15" w:type="dxa"/>
        </w:trPr>
        <w:tc>
          <w:tcPr>
            <w:tcW w:w="5387" w:type="dxa"/>
            <w:shd w:val="clear" w:color="auto" w:fill="F8FCFF"/>
            <w:vAlign w:val="center"/>
          </w:tcPr>
          <w:p>
            <w:pPr>
              <w:pStyle w:val="25"/>
              <w:tabs>
                <w:tab w:val="left" w:pos="851"/>
              </w:tabs>
              <w:snapToGrid w:val="0"/>
              <w:spacing w:line="360" w:lineRule="auto"/>
              <w:ind w:left="0" w:firstLine="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(三)采购人：</w:t>
            </w:r>
            <w:r>
              <w:rPr>
                <w:rFonts w:hint="eastAsia" w:asciiTheme="minorEastAsia" w:hAnsiTheme="minorEastAsia" w:eastAsiaTheme="minorEastAsia"/>
                <w:color w:val="auto"/>
                <w:sz w:val="24"/>
                <w:highlight w:val="none"/>
                <w:u w:val="single"/>
              </w:rPr>
              <w:t>开平市市场监督管理局</w:t>
            </w:r>
          </w:p>
        </w:tc>
        <w:tc>
          <w:tcPr>
            <w:tcW w:w="4774" w:type="dxa"/>
            <w:shd w:val="clear" w:color="auto" w:fill="F8FCFF"/>
            <w:vAlign w:val="center"/>
          </w:tcPr>
          <w:p>
            <w:pPr>
              <w:pStyle w:val="25"/>
              <w:tabs>
                <w:tab w:val="left" w:pos="851"/>
              </w:tabs>
              <w:snapToGrid w:val="0"/>
              <w:spacing w:line="360" w:lineRule="auto"/>
              <w:ind w:left="0" w:firstLine="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地址：</w:t>
            </w:r>
            <w:r>
              <w:rPr>
                <w:rFonts w:hint="eastAsia" w:asciiTheme="minorEastAsia" w:hAnsiTheme="minorEastAsia" w:eastAsiaTheme="minorEastAsia"/>
                <w:color w:val="auto"/>
                <w:sz w:val="24"/>
                <w:highlight w:val="none"/>
                <w:u w:val="single"/>
              </w:rPr>
              <w:t>广东省东兴大道人和东路5号</w:t>
            </w:r>
          </w:p>
        </w:tc>
      </w:tr>
      <w:tr>
        <w:tblPrEx>
          <w:tblCellMar>
            <w:top w:w="15" w:type="dxa"/>
            <w:left w:w="15" w:type="dxa"/>
            <w:bottom w:w="15" w:type="dxa"/>
            <w:right w:w="15" w:type="dxa"/>
          </w:tblCellMar>
        </w:tblPrEx>
        <w:trPr>
          <w:trHeight w:val="614" w:hRule="atLeast"/>
          <w:tblCellSpacing w:w="15" w:type="dxa"/>
        </w:trPr>
        <w:tc>
          <w:tcPr>
            <w:tcW w:w="5387" w:type="dxa"/>
            <w:shd w:val="clear" w:color="auto" w:fill="F8FCFF"/>
            <w:vAlign w:val="center"/>
          </w:tcPr>
          <w:p>
            <w:pPr>
              <w:pStyle w:val="25"/>
              <w:tabs>
                <w:tab w:val="left" w:pos="851"/>
              </w:tabs>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联系人：</w:t>
            </w:r>
            <w:r>
              <w:rPr>
                <w:rFonts w:hint="eastAsia" w:asciiTheme="minorEastAsia" w:hAnsiTheme="minorEastAsia" w:eastAsiaTheme="minorEastAsia"/>
                <w:color w:val="auto"/>
                <w:sz w:val="24"/>
                <w:highlight w:val="none"/>
                <w:u w:val="single"/>
              </w:rPr>
              <w:t>冯妙影</w:t>
            </w:r>
          </w:p>
        </w:tc>
        <w:tc>
          <w:tcPr>
            <w:tcW w:w="4774" w:type="dxa"/>
            <w:shd w:val="clear" w:color="auto" w:fill="F8FCFF"/>
            <w:vAlign w:val="center"/>
          </w:tcPr>
          <w:p>
            <w:pPr>
              <w:pStyle w:val="25"/>
              <w:tabs>
                <w:tab w:val="left" w:pos="851"/>
              </w:tabs>
              <w:snapToGrid w:val="0"/>
              <w:spacing w:line="360" w:lineRule="auto"/>
              <w:ind w:left="0" w:firstLine="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联系电话：</w:t>
            </w:r>
            <w:r>
              <w:rPr>
                <w:rFonts w:hint="eastAsia" w:asciiTheme="minorEastAsia" w:hAnsiTheme="minorEastAsia" w:eastAsiaTheme="minorEastAsia"/>
                <w:color w:val="auto"/>
                <w:sz w:val="24"/>
                <w:highlight w:val="none"/>
                <w:u w:val="single"/>
              </w:rPr>
              <w:t>0750-2235138</w:t>
            </w:r>
          </w:p>
        </w:tc>
      </w:tr>
      <w:tr>
        <w:tblPrEx>
          <w:tblCellMar>
            <w:top w:w="15" w:type="dxa"/>
            <w:left w:w="15" w:type="dxa"/>
            <w:bottom w:w="15" w:type="dxa"/>
            <w:right w:w="15" w:type="dxa"/>
          </w:tblCellMar>
        </w:tblPrEx>
        <w:trPr>
          <w:trHeight w:val="445" w:hRule="atLeast"/>
          <w:tblCellSpacing w:w="15" w:type="dxa"/>
        </w:trPr>
        <w:tc>
          <w:tcPr>
            <w:tcW w:w="5387" w:type="dxa"/>
            <w:shd w:val="clear" w:color="auto" w:fill="F8FCFF"/>
            <w:vAlign w:val="center"/>
          </w:tcPr>
          <w:p>
            <w:pPr>
              <w:pStyle w:val="25"/>
              <w:tabs>
                <w:tab w:val="left" w:pos="851"/>
              </w:tabs>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传真：</w:t>
            </w:r>
            <w:r>
              <w:rPr>
                <w:rFonts w:hint="eastAsia" w:asciiTheme="minorEastAsia" w:hAnsiTheme="minorEastAsia" w:eastAsiaTheme="minorEastAsia"/>
                <w:color w:val="auto"/>
                <w:sz w:val="24"/>
                <w:highlight w:val="none"/>
                <w:u w:val="single"/>
              </w:rPr>
              <w:t>0750-2212695</w:t>
            </w:r>
          </w:p>
        </w:tc>
        <w:tc>
          <w:tcPr>
            <w:tcW w:w="4774" w:type="dxa"/>
            <w:shd w:val="clear" w:color="auto" w:fill="F8FCFF"/>
            <w:vAlign w:val="center"/>
          </w:tcPr>
          <w:p>
            <w:pPr>
              <w:pStyle w:val="25"/>
              <w:tabs>
                <w:tab w:val="left" w:pos="851"/>
              </w:tabs>
              <w:snapToGrid w:val="0"/>
              <w:spacing w:line="360" w:lineRule="auto"/>
              <w:ind w:left="0" w:firstLine="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邮编：</w:t>
            </w:r>
            <w:r>
              <w:rPr>
                <w:rFonts w:hint="eastAsia" w:asciiTheme="minorEastAsia" w:hAnsiTheme="minorEastAsia" w:eastAsiaTheme="minorEastAsia"/>
                <w:color w:val="auto"/>
                <w:sz w:val="24"/>
                <w:highlight w:val="none"/>
                <w:u w:val="single"/>
              </w:rPr>
              <w:t>529300</w:t>
            </w:r>
          </w:p>
        </w:tc>
      </w:tr>
    </w:tbl>
    <w:p>
      <w:pPr>
        <w:snapToGrid w:val="0"/>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附件：</w:t>
      </w:r>
    </w:p>
    <w:p>
      <w:pPr>
        <w:numPr>
          <w:ilvl w:val="0"/>
          <w:numId w:val="9"/>
        </w:numPr>
        <w:snapToGrid w:val="0"/>
        <w:spacing w:line="360" w:lineRule="auto"/>
        <w:rPr>
          <w:rFonts w:ascii="宋体" w:hAnsi="宋体" w:cs="黑体"/>
          <w:color w:val="auto"/>
          <w:sz w:val="24"/>
          <w:highlight w:val="none"/>
          <w:shd w:val="pct10" w:color="auto" w:fill="FFFFFF"/>
        </w:rPr>
      </w:pPr>
      <w:r>
        <w:rPr>
          <w:rFonts w:hint="eastAsia" w:asciiTheme="minorEastAsia" w:hAnsiTheme="minorEastAsia" w:eastAsiaTheme="minorEastAsia"/>
          <w:color w:val="auto"/>
          <w:sz w:val="24"/>
          <w:highlight w:val="none"/>
        </w:rPr>
        <w:t>委托代理协议</w:t>
      </w:r>
    </w:p>
    <w:p>
      <w:pPr>
        <w:numPr>
          <w:ilvl w:val="0"/>
          <w:numId w:val="9"/>
        </w:numPr>
        <w:snapToGrid w:val="0"/>
        <w:spacing w:line="360" w:lineRule="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招标文件</w:t>
      </w:r>
    </w:p>
    <w:p>
      <w:pPr>
        <w:keepNext w:val="0"/>
        <w:keepLines w:val="0"/>
        <w:pageBreakBefore w:val="0"/>
        <w:widowControl w:val="0"/>
        <w:tabs>
          <w:tab w:val="right" w:pos="9180"/>
        </w:tabs>
        <w:kinsoku/>
        <w:wordWrap/>
        <w:overflowPunct/>
        <w:topLinePunct w:val="0"/>
        <w:autoSpaceDE/>
        <w:autoSpaceDN/>
        <w:bidi w:val="0"/>
        <w:adjustRightInd w:val="0"/>
        <w:snapToGrid w:val="0"/>
        <w:spacing w:line="288" w:lineRule="auto"/>
        <w:ind w:firstLine="437"/>
        <w:jc w:val="right"/>
        <w:textAlignment w:val="baseline"/>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ab/>
      </w:r>
      <w:r>
        <w:rPr>
          <w:rFonts w:hint="eastAsia" w:asciiTheme="minorEastAsia" w:hAnsiTheme="minorEastAsia" w:eastAsiaTheme="minorEastAsia"/>
          <w:b/>
          <w:color w:val="auto"/>
          <w:sz w:val="24"/>
          <w:highlight w:val="none"/>
        </w:rPr>
        <w:t>发布人：</w:t>
      </w:r>
      <w:r>
        <w:rPr>
          <w:rFonts w:hint="eastAsia" w:asciiTheme="minorEastAsia" w:hAnsiTheme="minorEastAsia" w:eastAsiaTheme="minorEastAsia"/>
          <w:b/>
          <w:color w:val="auto"/>
          <w:sz w:val="24"/>
          <w:highlight w:val="none"/>
          <w:u w:val="none"/>
        </w:rPr>
        <w:t>广东采联采购科技有限公司</w:t>
      </w:r>
    </w:p>
    <w:p>
      <w:pPr>
        <w:keepNext w:val="0"/>
        <w:keepLines w:val="0"/>
        <w:pageBreakBefore w:val="0"/>
        <w:widowControl w:val="0"/>
        <w:kinsoku/>
        <w:wordWrap/>
        <w:overflowPunct/>
        <w:topLinePunct w:val="0"/>
        <w:autoSpaceDE/>
        <w:autoSpaceDN/>
        <w:bidi w:val="0"/>
        <w:adjustRightInd w:val="0"/>
        <w:snapToGrid w:val="0"/>
        <w:spacing w:line="288" w:lineRule="auto"/>
        <w:ind w:firstLine="437"/>
        <w:jc w:val="right"/>
        <w:textAlignment w:val="baseline"/>
        <w:rPr>
          <w:rFonts w:ascii="宋体" w:hAnsi="宋体" w:cs="宋体"/>
          <w:color w:val="auto"/>
          <w:sz w:val="28"/>
          <w:szCs w:val="28"/>
          <w:highlight w:val="none"/>
        </w:rPr>
      </w:pPr>
      <w:r>
        <w:rPr>
          <w:rFonts w:hint="eastAsia" w:asciiTheme="minorEastAsia" w:hAnsiTheme="minorEastAsia" w:eastAsiaTheme="minorEastAsia"/>
          <w:b/>
          <w:color w:val="auto"/>
          <w:sz w:val="24"/>
          <w:highlight w:val="none"/>
        </w:rPr>
        <w:t>发布时间：</w:t>
      </w:r>
      <w:r>
        <w:rPr>
          <w:rFonts w:hint="eastAsia" w:asciiTheme="minorEastAsia" w:hAnsiTheme="minorEastAsia" w:eastAsiaTheme="minorEastAsia"/>
          <w:b/>
          <w:color w:val="auto"/>
          <w:sz w:val="24"/>
          <w:highlight w:val="none"/>
          <w:lang w:val="en-US" w:eastAsia="zh-CN"/>
        </w:rPr>
        <w:t>2020</w:t>
      </w:r>
      <w:r>
        <w:rPr>
          <w:rFonts w:hint="eastAsia" w:asciiTheme="minorEastAsia" w:hAnsiTheme="minorEastAsia" w:eastAsiaTheme="minorEastAsia"/>
          <w:b/>
          <w:color w:val="auto"/>
          <w:sz w:val="24"/>
          <w:highlight w:val="none"/>
        </w:rPr>
        <w:t>年</w:t>
      </w:r>
      <w:r>
        <w:rPr>
          <w:rFonts w:hint="eastAsia" w:asciiTheme="minorEastAsia" w:hAnsiTheme="minorEastAsia" w:eastAsiaTheme="minorEastAsia"/>
          <w:b/>
          <w:color w:val="auto"/>
          <w:sz w:val="24"/>
          <w:highlight w:val="none"/>
          <w:lang w:val="en-US" w:eastAsia="zh-CN"/>
        </w:rPr>
        <w:t>04</w:t>
      </w:r>
      <w:r>
        <w:rPr>
          <w:rFonts w:hint="eastAsia" w:asciiTheme="minorEastAsia" w:hAnsiTheme="minorEastAsia" w:eastAsiaTheme="minorEastAsia"/>
          <w:b/>
          <w:color w:val="auto"/>
          <w:sz w:val="24"/>
          <w:highlight w:val="none"/>
        </w:rPr>
        <w:t>月</w:t>
      </w:r>
      <w:r>
        <w:rPr>
          <w:rFonts w:hint="eastAsia" w:asciiTheme="minorEastAsia" w:hAnsiTheme="minorEastAsia" w:eastAsiaTheme="minorEastAsia"/>
          <w:b/>
          <w:color w:val="auto"/>
          <w:sz w:val="24"/>
          <w:highlight w:val="none"/>
          <w:lang w:val="en-US" w:eastAsia="zh-CN"/>
        </w:rPr>
        <w:t>24</w:t>
      </w:r>
      <w:r>
        <w:rPr>
          <w:rFonts w:hint="eastAsia" w:asciiTheme="minorEastAsia" w:hAnsiTheme="minorEastAsia" w:eastAsiaTheme="minorEastAsia"/>
          <w:b/>
          <w:color w:val="auto"/>
          <w:sz w:val="24"/>
          <w:highlight w:val="none"/>
        </w:rPr>
        <w:t>日</w:t>
      </w:r>
      <w:r>
        <w:rPr>
          <w:rFonts w:asciiTheme="minorEastAsia" w:hAnsiTheme="minorEastAsia" w:eastAsiaTheme="minorEastAsia"/>
          <w:b/>
          <w:bCs/>
          <w:color w:val="auto"/>
          <w:sz w:val="24"/>
          <w:highlight w:val="none"/>
        </w:rPr>
        <w:br w:type="page"/>
      </w:r>
      <w:bookmarkEnd w:id="7"/>
      <w:bookmarkEnd w:id="8"/>
      <w:bookmarkStart w:id="9" w:name="_Toc435109306"/>
      <w:bookmarkStart w:id="10" w:name="_Toc435115055"/>
      <w:bookmarkStart w:id="11" w:name="_Toc435514850"/>
    </w:p>
    <w:p>
      <w:pPr>
        <w:spacing w:beforeLines="50" w:afterLines="50" w:line="360" w:lineRule="auto"/>
        <w:jc w:val="center"/>
        <w:outlineLvl w:val="0"/>
        <w:rPr>
          <w:color w:val="auto"/>
          <w:highlight w:val="none"/>
        </w:rPr>
      </w:pPr>
      <w:bookmarkStart w:id="12" w:name="_Toc13067021"/>
      <w:bookmarkStart w:id="13" w:name="_Toc10746"/>
      <w:r>
        <w:rPr>
          <w:rFonts w:hint="eastAsia"/>
          <w:b/>
          <w:bCs/>
          <w:color w:val="auto"/>
          <w:sz w:val="28"/>
          <w:szCs w:val="28"/>
          <w:highlight w:val="none"/>
        </w:rPr>
        <w:t>第二章 采购需求</w:t>
      </w:r>
      <w:bookmarkEnd w:id="12"/>
      <w:bookmarkEnd w:id="13"/>
    </w:p>
    <w:p>
      <w:pPr>
        <w:pStyle w:val="8"/>
        <w:numPr>
          <w:ilvl w:val="0"/>
          <w:numId w:val="10"/>
        </w:numPr>
        <w:tabs>
          <w:tab w:val="left" w:pos="540"/>
        </w:tabs>
        <w:snapToGrid w:val="0"/>
        <w:spacing w:line="360" w:lineRule="auto"/>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有关说明</w:t>
      </w:r>
    </w:p>
    <w:p>
      <w:pPr>
        <w:numPr>
          <w:ilvl w:val="0"/>
          <w:numId w:val="11"/>
        </w:numPr>
        <w:tabs>
          <w:tab w:val="left" w:pos="567"/>
          <w:tab w:val="clear" w:pos="420"/>
        </w:tabs>
        <w:snapToGrid w:val="0"/>
        <w:spacing w:line="360" w:lineRule="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投标人须对本项目以包组为单位的采购标的进行整体投标，任何只对以包组为单位的采购标的其中一部分内容、数量进行的投标都被视为无效投标。</w:t>
      </w:r>
    </w:p>
    <w:p>
      <w:pPr>
        <w:numPr>
          <w:ilvl w:val="0"/>
          <w:numId w:val="11"/>
        </w:numPr>
        <w:tabs>
          <w:tab w:val="left" w:pos="567"/>
          <w:tab w:val="clear" w:pos="420"/>
        </w:tabs>
        <w:snapToGrid w:val="0"/>
        <w:spacing w:line="360" w:lineRule="auto"/>
        <w:rPr>
          <w:rFonts w:asciiTheme="minorEastAsia" w:hAnsiTheme="minorEastAsia"/>
          <w:b/>
          <w:color w:val="auto"/>
          <w:sz w:val="24"/>
          <w:highlight w:val="none"/>
        </w:rPr>
      </w:pPr>
      <w:r>
        <w:rPr>
          <w:rFonts w:hint="eastAsia" w:asciiTheme="minorEastAsia" w:hAnsiTheme="minorEastAsia" w:eastAsiaTheme="minorEastAsia"/>
          <w:bCs/>
          <w:color w:val="auto"/>
          <w:sz w:val="24"/>
          <w:highlight w:val="none"/>
        </w:rPr>
        <w:t>采购需求中标注</w:t>
      </w:r>
      <w:r>
        <w:rPr>
          <w:rFonts w:asciiTheme="minorEastAsia" w:hAnsiTheme="minorEastAsia" w:eastAsiaTheme="minorEastAsia"/>
          <w:bCs/>
          <w:color w:val="auto"/>
          <w:sz w:val="24"/>
          <w:highlight w:val="none"/>
        </w:rPr>
        <w:t>“</w:t>
      </w:r>
      <w:r>
        <w:rPr>
          <w:rFonts w:hint="eastAsia" w:asciiTheme="minorEastAsia" w:hAnsiTheme="minorEastAsia" w:eastAsiaTheme="minorEastAsia"/>
          <w:bCs/>
          <w:color w:val="auto"/>
          <w:sz w:val="24"/>
          <w:highlight w:val="none"/>
        </w:rPr>
        <w:t>★</w:t>
      </w:r>
      <w:r>
        <w:rPr>
          <w:rFonts w:asciiTheme="minorEastAsia" w:hAnsiTheme="minorEastAsia" w:eastAsiaTheme="minorEastAsia"/>
          <w:bCs/>
          <w:color w:val="auto"/>
          <w:sz w:val="24"/>
          <w:highlight w:val="none"/>
        </w:rPr>
        <w:t>”</w:t>
      </w:r>
      <w:r>
        <w:rPr>
          <w:rFonts w:hint="eastAsia" w:asciiTheme="minorEastAsia" w:hAnsiTheme="minorEastAsia" w:eastAsiaTheme="minorEastAsia"/>
          <w:bCs/>
          <w:color w:val="auto"/>
          <w:sz w:val="24"/>
          <w:highlight w:val="none"/>
        </w:rPr>
        <w:t>号条款为实质性条款，必须逐条进行响应，有任何一条负偏离的，将导致无效投标。</w:t>
      </w:r>
    </w:p>
    <w:p>
      <w:pPr>
        <w:pStyle w:val="8"/>
        <w:numPr>
          <w:ilvl w:val="0"/>
          <w:numId w:val="10"/>
        </w:numPr>
        <w:tabs>
          <w:tab w:val="left" w:pos="540"/>
        </w:tabs>
        <w:snapToGrid w:val="0"/>
        <w:spacing w:line="360" w:lineRule="auto"/>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基本概况</w:t>
      </w:r>
    </w:p>
    <w:p>
      <w:pPr>
        <w:pStyle w:val="8"/>
        <w:tabs>
          <w:tab w:val="left" w:pos="540"/>
        </w:tabs>
        <w:snapToGrid w:val="0"/>
        <w:spacing w:line="360" w:lineRule="auto"/>
        <w:ind w:firstLine="480" w:firstLineChars="200"/>
        <w:rPr>
          <w:rFonts w:asciiTheme="minorEastAsia" w:hAnsiTheme="minorEastAsia"/>
          <w:bCs/>
          <w:color w:val="auto"/>
          <w:sz w:val="24"/>
          <w:szCs w:val="24"/>
          <w:highlight w:val="none"/>
        </w:rPr>
      </w:pPr>
      <w:r>
        <w:rPr>
          <w:rFonts w:hint="eastAsia" w:asciiTheme="minorEastAsia" w:hAnsiTheme="minorEastAsia"/>
          <w:bCs/>
          <w:color w:val="auto"/>
          <w:sz w:val="24"/>
          <w:szCs w:val="24"/>
          <w:highlight w:val="none"/>
        </w:rPr>
        <w:t>对承担开平市各类食品（包括食品原料、食品添加剂）进行抽样检验的食品检验机构资格进行公开招标，中标检验机构承担2020-2021年开平市市场监管局组织开展的食品安全监督抽检、专项抽检、风险监测、应急抽检等工作。</w:t>
      </w:r>
    </w:p>
    <w:p>
      <w:pPr>
        <w:pStyle w:val="8"/>
        <w:numPr>
          <w:ilvl w:val="0"/>
          <w:numId w:val="10"/>
        </w:numPr>
        <w:tabs>
          <w:tab w:val="left" w:pos="540"/>
        </w:tabs>
        <w:snapToGrid w:val="0"/>
        <w:spacing w:line="360" w:lineRule="auto"/>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服务内容</w:t>
      </w:r>
    </w:p>
    <w:tbl>
      <w:tblPr>
        <w:tblStyle w:val="16"/>
        <w:tblW w:w="10224"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481"/>
        <w:gridCol w:w="1269"/>
        <w:gridCol w:w="2415"/>
        <w:gridCol w:w="2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1134" w:type="dxa"/>
            <w:tcBorders>
              <w:top w:val="single" w:color="auto" w:sz="12" w:space="0"/>
              <w:left w:val="single" w:color="auto" w:sz="12" w:space="0"/>
            </w:tcBorders>
            <w:shd w:val="clear" w:color="auto" w:fill="EEECE1"/>
            <w:vAlign w:val="center"/>
          </w:tcPr>
          <w:p>
            <w:pPr>
              <w:snapToGrid w:val="0"/>
              <w:jc w:val="center"/>
              <w:rPr>
                <w:rFonts w:ascii="宋体"/>
                <w:b/>
                <w:color w:val="auto"/>
                <w:sz w:val="24"/>
                <w:highlight w:val="none"/>
              </w:rPr>
            </w:pPr>
            <w:r>
              <w:rPr>
                <w:rFonts w:hint="eastAsia" w:ascii="宋体"/>
                <w:b/>
                <w:color w:val="auto"/>
                <w:sz w:val="24"/>
                <w:highlight w:val="none"/>
              </w:rPr>
              <w:t>包组号</w:t>
            </w:r>
          </w:p>
        </w:tc>
        <w:tc>
          <w:tcPr>
            <w:tcW w:w="2481" w:type="dxa"/>
            <w:tcBorders>
              <w:top w:val="single" w:color="auto" w:sz="12" w:space="0"/>
            </w:tcBorders>
            <w:shd w:val="clear" w:color="auto" w:fill="EEECE1"/>
            <w:vAlign w:val="center"/>
          </w:tcPr>
          <w:p>
            <w:pPr>
              <w:snapToGrid w:val="0"/>
              <w:jc w:val="center"/>
              <w:rPr>
                <w:rFonts w:ascii="宋体"/>
                <w:b/>
                <w:color w:val="auto"/>
                <w:sz w:val="24"/>
                <w:highlight w:val="none"/>
              </w:rPr>
            </w:pPr>
            <w:r>
              <w:rPr>
                <w:rFonts w:hint="eastAsia" w:ascii="宋体"/>
                <w:b/>
                <w:color w:val="auto"/>
                <w:sz w:val="24"/>
                <w:highlight w:val="none"/>
              </w:rPr>
              <w:t>服务内容</w:t>
            </w:r>
          </w:p>
        </w:tc>
        <w:tc>
          <w:tcPr>
            <w:tcW w:w="1269" w:type="dxa"/>
            <w:tcBorders>
              <w:top w:val="single" w:color="auto" w:sz="12" w:space="0"/>
            </w:tcBorders>
            <w:shd w:val="clear" w:color="auto" w:fill="EEECE1"/>
            <w:vAlign w:val="center"/>
          </w:tcPr>
          <w:p>
            <w:pPr>
              <w:snapToGrid w:val="0"/>
              <w:jc w:val="center"/>
              <w:rPr>
                <w:rFonts w:ascii="宋体"/>
                <w:b/>
                <w:color w:val="auto"/>
                <w:sz w:val="24"/>
                <w:highlight w:val="none"/>
              </w:rPr>
            </w:pPr>
            <w:r>
              <w:rPr>
                <w:rFonts w:hint="eastAsia" w:ascii="宋体"/>
                <w:b/>
                <w:color w:val="auto"/>
                <w:sz w:val="24"/>
                <w:highlight w:val="none"/>
              </w:rPr>
              <w:t>数量</w:t>
            </w:r>
          </w:p>
        </w:tc>
        <w:tc>
          <w:tcPr>
            <w:tcW w:w="2415" w:type="dxa"/>
            <w:tcBorders>
              <w:top w:val="single" w:color="auto" w:sz="12" w:space="0"/>
              <w:right w:val="single" w:color="auto" w:sz="4" w:space="0"/>
            </w:tcBorders>
            <w:shd w:val="clear" w:color="auto" w:fill="EEECE1"/>
            <w:vAlign w:val="center"/>
          </w:tcPr>
          <w:p>
            <w:pPr>
              <w:snapToGrid w:val="0"/>
              <w:jc w:val="center"/>
              <w:rPr>
                <w:rFonts w:ascii="宋体"/>
                <w:b/>
                <w:color w:val="auto"/>
                <w:sz w:val="24"/>
                <w:highlight w:val="none"/>
              </w:rPr>
            </w:pPr>
            <w:r>
              <w:rPr>
                <w:rFonts w:hint="eastAsia" w:ascii="宋体"/>
                <w:b/>
                <w:color w:val="auto"/>
                <w:sz w:val="24"/>
                <w:highlight w:val="none"/>
              </w:rPr>
              <w:t>采购预算</w:t>
            </w:r>
          </w:p>
          <w:p>
            <w:pPr>
              <w:snapToGrid w:val="0"/>
              <w:jc w:val="center"/>
              <w:rPr>
                <w:rFonts w:ascii="宋体"/>
                <w:b/>
                <w:color w:val="auto"/>
                <w:sz w:val="24"/>
                <w:highlight w:val="none"/>
              </w:rPr>
            </w:pPr>
            <w:r>
              <w:rPr>
                <w:rFonts w:hint="eastAsia" w:ascii="宋体"/>
                <w:b/>
                <w:color w:val="auto"/>
                <w:sz w:val="24"/>
                <w:highlight w:val="none"/>
              </w:rPr>
              <w:t>（人民币  元）</w:t>
            </w:r>
          </w:p>
        </w:tc>
        <w:tc>
          <w:tcPr>
            <w:tcW w:w="2925" w:type="dxa"/>
            <w:tcBorders>
              <w:top w:val="single" w:color="auto" w:sz="12" w:space="0"/>
              <w:left w:val="single" w:color="auto" w:sz="4" w:space="0"/>
              <w:right w:val="single" w:color="auto" w:sz="12" w:space="0"/>
            </w:tcBorders>
            <w:shd w:val="clear" w:color="auto" w:fill="EEECE1"/>
            <w:vAlign w:val="center"/>
          </w:tcPr>
          <w:p>
            <w:pPr>
              <w:snapToGrid w:val="0"/>
              <w:jc w:val="center"/>
              <w:rPr>
                <w:rFonts w:ascii="宋体"/>
                <w:b/>
                <w:color w:val="auto"/>
                <w:sz w:val="24"/>
                <w:highlight w:val="none"/>
              </w:rPr>
            </w:pPr>
            <w:r>
              <w:rPr>
                <w:rFonts w:hint="eastAsia" w:asciiTheme="minorEastAsia" w:hAnsiTheme="minorEastAsia" w:eastAsiaTheme="minorEastAsia"/>
                <w:bCs/>
                <w:color w:val="auto"/>
                <w:sz w:val="24"/>
                <w:highlight w:val="none"/>
              </w:rPr>
              <w:t>★</w:t>
            </w:r>
            <w:r>
              <w:rPr>
                <w:rFonts w:hint="eastAsia" w:ascii="宋体"/>
                <w:b/>
                <w:color w:val="auto"/>
                <w:sz w:val="24"/>
                <w:highlight w:val="none"/>
              </w:rPr>
              <w:t>履行期限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4" w:hRule="atLeast"/>
        </w:trPr>
        <w:tc>
          <w:tcPr>
            <w:tcW w:w="1134" w:type="dxa"/>
            <w:tcBorders>
              <w:left w:val="single" w:color="auto" w:sz="12" w:space="0"/>
              <w:bottom w:val="single" w:color="auto" w:sz="12" w:space="0"/>
            </w:tcBorders>
            <w:vAlign w:val="center"/>
          </w:tcPr>
          <w:p>
            <w:pPr>
              <w:snapToGrid w:val="0"/>
              <w:jc w:val="center"/>
              <w:rPr>
                <w:rFonts w:ascii="宋体"/>
                <w:bCs/>
                <w:color w:val="auto"/>
                <w:sz w:val="24"/>
                <w:highlight w:val="none"/>
              </w:rPr>
            </w:pPr>
            <w:r>
              <w:rPr>
                <w:rFonts w:hint="eastAsia" w:ascii="宋体"/>
                <w:bCs/>
                <w:color w:val="auto"/>
                <w:sz w:val="24"/>
                <w:highlight w:val="none"/>
              </w:rPr>
              <w:t>包组一</w:t>
            </w:r>
          </w:p>
        </w:tc>
        <w:tc>
          <w:tcPr>
            <w:tcW w:w="2481" w:type="dxa"/>
            <w:tcBorders>
              <w:bottom w:val="single" w:color="auto" w:sz="12" w:space="0"/>
            </w:tcBorders>
            <w:vAlign w:val="center"/>
          </w:tcPr>
          <w:p>
            <w:pPr>
              <w:snapToGrid w:val="0"/>
              <w:jc w:val="center"/>
              <w:rPr>
                <w:rFonts w:ascii="宋体"/>
                <w:bCs/>
                <w:color w:val="auto"/>
                <w:sz w:val="24"/>
                <w:highlight w:val="none"/>
              </w:rPr>
            </w:pPr>
            <w:r>
              <w:rPr>
                <w:rFonts w:hint="eastAsia" w:ascii="宋体"/>
                <w:bCs/>
                <w:color w:val="auto"/>
                <w:sz w:val="24"/>
                <w:highlight w:val="none"/>
              </w:rPr>
              <w:t>食用农产品抽检</w:t>
            </w:r>
          </w:p>
        </w:tc>
        <w:tc>
          <w:tcPr>
            <w:tcW w:w="1269" w:type="dxa"/>
            <w:tcBorders>
              <w:bottom w:val="single" w:color="auto" w:sz="12" w:space="0"/>
            </w:tcBorders>
            <w:vAlign w:val="center"/>
          </w:tcPr>
          <w:p>
            <w:pPr>
              <w:snapToGrid w:val="0"/>
              <w:jc w:val="center"/>
              <w:rPr>
                <w:rFonts w:ascii="宋体"/>
                <w:bCs/>
                <w:color w:val="auto"/>
                <w:sz w:val="24"/>
                <w:highlight w:val="none"/>
              </w:rPr>
            </w:pPr>
            <w:r>
              <w:rPr>
                <w:rFonts w:hint="eastAsia" w:asciiTheme="minorEastAsia" w:hAnsiTheme="minorEastAsia" w:eastAsiaTheme="minorEastAsia"/>
                <w:color w:val="auto"/>
                <w:sz w:val="24"/>
                <w:highlight w:val="none"/>
              </w:rPr>
              <w:t>558批次</w:t>
            </w:r>
          </w:p>
        </w:tc>
        <w:tc>
          <w:tcPr>
            <w:tcW w:w="2415" w:type="dxa"/>
            <w:tcBorders>
              <w:bottom w:val="single" w:color="auto" w:sz="12" w:space="0"/>
              <w:right w:val="single" w:color="auto" w:sz="4" w:space="0"/>
            </w:tcBorders>
            <w:vAlign w:val="center"/>
          </w:tcPr>
          <w:p>
            <w:pPr>
              <w:snapToGrid w:val="0"/>
              <w:jc w:val="center"/>
              <w:rPr>
                <w:rFonts w:ascii="宋体"/>
                <w:bCs/>
                <w:color w:val="auto"/>
                <w:sz w:val="24"/>
                <w:highlight w:val="none"/>
              </w:rPr>
            </w:pPr>
            <w:r>
              <w:rPr>
                <w:rFonts w:hint="eastAsia" w:asciiTheme="minorEastAsia" w:hAnsiTheme="minorEastAsia" w:eastAsiaTheme="minorEastAsia"/>
                <w:snapToGrid w:val="0"/>
                <w:color w:val="auto"/>
                <w:spacing w:val="20"/>
                <w:sz w:val="24"/>
                <w:szCs w:val="20"/>
                <w:highlight w:val="none"/>
              </w:rPr>
              <w:t>832000</w:t>
            </w:r>
            <w:r>
              <w:rPr>
                <w:rFonts w:hint="eastAsia" w:asciiTheme="minorEastAsia" w:hAnsiTheme="minorEastAsia" w:eastAsiaTheme="minorEastAsia"/>
                <w:color w:val="auto"/>
                <w:sz w:val="24"/>
                <w:highlight w:val="none"/>
              </w:rPr>
              <w:t>元/年</w:t>
            </w:r>
          </w:p>
        </w:tc>
        <w:tc>
          <w:tcPr>
            <w:tcW w:w="2925" w:type="dxa"/>
            <w:tcBorders>
              <w:left w:val="single" w:color="auto" w:sz="4" w:space="0"/>
              <w:bottom w:val="single" w:color="auto" w:sz="12" w:space="0"/>
              <w:right w:val="single" w:color="auto" w:sz="12" w:space="0"/>
            </w:tcBorders>
            <w:vAlign w:val="center"/>
          </w:tcPr>
          <w:p>
            <w:pPr>
              <w:snapToGrid w:val="0"/>
              <w:jc w:val="center"/>
              <w:rPr>
                <w:rFonts w:ascii="宋体"/>
                <w:bCs/>
                <w:color w:val="auto"/>
                <w:sz w:val="24"/>
                <w:highlight w:val="none"/>
              </w:rPr>
            </w:pPr>
            <w:r>
              <w:rPr>
                <w:rFonts w:hint="eastAsia" w:ascii="宋体"/>
                <w:bCs/>
                <w:color w:val="auto"/>
                <w:sz w:val="24"/>
                <w:highlight w:val="none"/>
              </w:rPr>
              <w:t>自合同签订之日起一年内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4" w:hRule="atLeast"/>
        </w:trPr>
        <w:tc>
          <w:tcPr>
            <w:tcW w:w="1134" w:type="dxa"/>
            <w:tcBorders>
              <w:top w:val="single" w:color="auto" w:sz="12" w:space="0"/>
              <w:left w:val="single" w:color="auto" w:sz="12" w:space="0"/>
              <w:bottom w:val="single" w:color="auto" w:sz="12" w:space="0"/>
            </w:tcBorders>
            <w:vAlign w:val="center"/>
          </w:tcPr>
          <w:p>
            <w:pPr>
              <w:snapToGrid w:val="0"/>
              <w:jc w:val="center"/>
              <w:rPr>
                <w:rFonts w:ascii="宋体"/>
                <w:bCs/>
                <w:color w:val="auto"/>
                <w:sz w:val="24"/>
                <w:highlight w:val="none"/>
              </w:rPr>
            </w:pPr>
            <w:r>
              <w:rPr>
                <w:rFonts w:hint="eastAsia" w:ascii="宋体"/>
                <w:bCs/>
                <w:color w:val="auto"/>
                <w:sz w:val="24"/>
                <w:highlight w:val="none"/>
              </w:rPr>
              <w:t>包组二</w:t>
            </w:r>
          </w:p>
        </w:tc>
        <w:tc>
          <w:tcPr>
            <w:tcW w:w="2481" w:type="dxa"/>
            <w:tcBorders>
              <w:top w:val="single" w:color="auto" w:sz="12" w:space="0"/>
              <w:bottom w:val="single" w:color="auto" w:sz="12" w:space="0"/>
            </w:tcBorders>
            <w:vAlign w:val="center"/>
          </w:tcPr>
          <w:p>
            <w:pPr>
              <w:snapToGrid w:val="0"/>
              <w:jc w:val="center"/>
              <w:rPr>
                <w:rFonts w:ascii="宋体"/>
                <w:bCs/>
                <w:color w:val="auto"/>
                <w:sz w:val="24"/>
                <w:highlight w:val="none"/>
              </w:rPr>
            </w:pPr>
            <w:r>
              <w:rPr>
                <w:rFonts w:hint="eastAsia" w:ascii="宋体"/>
                <w:bCs/>
                <w:color w:val="auto"/>
                <w:sz w:val="24"/>
                <w:highlight w:val="none"/>
              </w:rPr>
              <w:t>除食用农产品外的其他食品类别抽检（一）</w:t>
            </w:r>
          </w:p>
        </w:tc>
        <w:tc>
          <w:tcPr>
            <w:tcW w:w="1269" w:type="dxa"/>
            <w:tcBorders>
              <w:top w:val="single" w:color="auto" w:sz="12" w:space="0"/>
              <w:bottom w:val="single" w:color="auto" w:sz="12" w:space="0"/>
            </w:tcBorders>
            <w:vAlign w:val="center"/>
          </w:tcPr>
          <w:p>
            <w:pPr>
              <w:snapToGrid w:val="0"/>
              <w:jc w:val="center"/>
              <w:rPr>
                <w:rFonts w:ascii="宋体"/>
                <w:bCs/>
                <w:color w:val="auto"/>
                <w:sz w:val="24"/>
                <w:highlight w:val="none"/>
              </w:rPr>
            </w:pPr>
            <w:r>
              <w:rPr>
                <w:rFonts w:hint="eastAsia" w:asciiTheme="minorEastAsia" w:hAnsiTheme="minorEastAsia" w:eastAsiaTheme="minorEastAsia"/>
                <w:color w:val="auto"/>
                <w:sz w:val="24"/>
                <w:highlight w:val="none"/>
              </w:rPr>
              <w:t>474批次</w:t>
            </w:r>
          </w:p>
        </w:tc>
        <w:tc>
          <w:tcPr>
            <w:tcW w:w="2415" w:type="dxa"/>
            <w:tcBorders>
              <w:top w:val="single" w:color="auto" w:sz="12" w:space="0"/>
              <w:bottom w:val="single" w:color="auto" w:sz="12" w:space="0"/>
              <w:right w:val="single" w:color="auto" w:sz="4" w:space="0"/>
            </w:tcBorders>
            <w:vAlign w:val="center"/>
          </w:tcPr>
          <w:p>
            <w:pPr>
              <w:pStyle w:val="26"/>
              <w:snapToGrid w:val="0"/>
              <w:spacing w:before="0" w:after="0" w:line="240" w:lineRule="auto"/>
              <w:rPr>
                <w:rFonts w:ascii="宋体" w:hAnsi="宋体"/>
                <w:snapToGrid/>
                <w:color w:val="auto"/>
                <w:spacing w:val="0"/>
                <w:kern w:val="2"/>
                <w:szCs w:val="24"/>
                <w:highlight w:val="none"/>
              </w:rPr>
            </w:pPr>
            <w:r>
              <w:rPr>
                <w:rFonts w:hint="eastAsia" w:asciiTheme="minorEastAsia" w:hAnsiTheme="minorEastAsia" w:eastAsiaTheme="minorEastAsia"/>
                <w:color w:val="auto"/>
                <w:highlight w:val="none"/>
              </w:rPr>
              <w:t>706000元/年</w:t>
            </w:r>
          </w:p>
        </w:tc>
        <w:tc>
          <w:tcPr>
            <w:tcW w:w="2925" w:type="dxa"/>
            <w:tcBorders>
              <w:top w:val="single" w:color="auto" w:sz="12" w:space="0"/>
              <w:left w:val="single" w:color="auto" w:sz="4" w:space="0"/>
              <w:bottom w:val="single" w:color="auto" w:sz="12" w:space="0"/>
              <w:right w:val="single" w:color="auto" w:sz="12" w:space="0"/>
            </w:tcBorders>
            <w:vAlign w:val="center"/>
          </w:tcPr>
          <w:p>
            <w:pPr>
              <w:pStyle w:val="26"/>
              <w:snapToGrid w:val="0"/>
              <w:spacing w:before="0" w:after="0" w:line="240" w:lineRule="auto"/>
              <w:rPr>
                <w:rFonts w:ascii="宋体"/>
                <w:bCs/>
                <w:snapToGrid/>
                <w:color w:val="auto"/>
                <w:spacing w:val="0"/>
                <w:szCs w:val="24"/>
                <w:highlight w:val="none"/>
              </w:rPr>
            </w:pPr>
            <w:r>
              <w:rPr>
                <w:rFonts w:hint="eastAsia" w:ascii="宋体"/>
                <w:bCs/>
                <w:snapToGrid/>
                <w:color w:val="auto"/>
                <w:spacing w:val="0"/>
                <w:szCs w:val="24"/>
                <w:highlight w:val="none"/>
              </w:rPr>
              <w:t>自合同签订之日起一年内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4" w:hRule="atLeast"/>
        </w:trPr>
        <w:tc>
          <w:tcPr>
            <w:tcW w:w="1134" w:type="dxa"/>
            <w:tcBorders>
              <w:top w:val="single" w:color="auto" w:sz="12" w:space="0"/>
              <w:left w:val="single" w:color="auto" w:sz="12" w:space="0"/>
              <w:bottom w:val="single" w:color="auto" w:sz="12" w:space="0"/>
            </w:tcBorders>
            <w:vAlign w:val="center"/>
          </w:tcPr>
          <w:p>
            <w:pPr>
              <w:snapToGrid w:val="0"/>
              <w:jc w:val="center"/>
              <w:rPr>
                <w:rFonts w:ascii="宋体"/>
                <w:bCs/>
                <w:color w:val="auto"/>
                <w:sz w:val="24"/>
                <w:highlight w:val="none"/>
              </w:rPr>
            </w:pPr>
            <w:r>
              <w:rPr>
                <w:rFonts w:hint="eastAsia" w:ascii="宋体"/>
                <w:bCs/>
                <w:color w:val="auto"/>
                <w:sz w:val="24"/>
                <w:highlight w:val="none"/>
              </w:rPr>
              <w:t>包组三</w:t>
            </w:r>
          </w:p>
        </w:tc>
        <w:tc>
          <w:tcPr>
            <w:tcW w:w="2481" w:type="dxa"/>
            <w:tcBorders>
              <w:top w:val="single" w:color="auto" w:sz="12" w:space="0"/>
              <w:bottom w:val="single" w:color="auto" w:sz="12" w:space="0"/>
            </w:tcBorders>
            <w:vAlign w:val="center"/>
          </w:tcPr>
          <w:p>
            <w:pPr>
              <w:snapToGrid w:val="0"/>
              <w:jc w:val="center"/>
              <w:rPr>
                <w:rFonts w:ascii="宋体"/>
                <w:bCs/>
                <w:color w:val="auto"/>
                <w:sz w:val="24"/>
                <w:highlight w:val="none"/>
              </w:rPr>
            </w:pPr>
            <w:r>
              <w:rPr>
                <w:rFonts w:hint="eastAsia" w:asciiTheme="minorEastAsia" w:hAnsiTheme="minorEastAsia" w:eastAsiaTheme="minorEastAsia"/>
                <w:color w:val="auto"/>
                <w:sz w:val="24"/>
                <w:highlight w:val="none"/>
              </w:rPr>
              <w:t>除食用农产品外的其他食品类别抽检（二）</w:t>
            </w:r>
          </w:p>
        </w:tc>
        <w:tc>
          <w:tcPr>
            <w:tcW w:w="1269" w:type="dxa"/>
            <w:tcBorders>
              <w:top w:val="single" w:color="auto" w:sz="12" w:space="0"/>
              <w:bottom w:val="single" w:color="auto" w:sz="12" w:space="0"/>
            </w:tcBorders>
            <w:vAlign w:val="center"/>
          </w:tcPr>
          <w:p>
            <w:pPr>
              <w:snapToGrid w:val="0"/>
              <w:jc w:val="center"/>
              <w:rPr>
                <w:rFonts w:ascii="宋体"/>
                <w:bCs/>
                <w:color w:val="auto"/>
                <w:sz w:val="24"/>
                <w:highlight w:val="none"/>
              </w:rPr>
            </w:pPr>
            <w:r>
              <w:rPr>
                <w:rFonts w:hint="eastAsia" w:asciiTheme="minorEastAsia" w:hAnsiTheme="minorEastAsia" w:eastAsiaTheme="minorEastAsia"/>
                <w:color w:val="auto"/>
                <w:sz w:val="24"/>
                <w:highlight w:val="none"/>
              </w:rPr>
              <w:t>474批次</w:t>
            </w:r>
          </w:p>
        </w:tc>
        <w:tc>
          <w:tcPr>
            <w:tcW w:w="2415" w:type="dxa"/>
            <w:tcBorders>
              <w:top w:val="single" w:color="auto" w:sz="12" w:space="0"/>
              <w:bottom w:val="single" w:color="auto" w:sz="12" w:space="0"/>
              <w:right w:val="single" w:color="auto" w:sz="4" w:space="0"/>
            </w:tcBorders>
            <w:vAlign w:val="center"/>
          </w:tcPr>
          <w:p>
            <w:pPr>
              <w:pStyle w:val="26"/>
              <w:snapToGrid w:val="0"/>
              <w:spacing w:before="0" w:after="0" w:line="240" w:lineRule="auto"/>
              <w:rPr>
                <w:rFonts w:ascii="宋体" w:hAnsi="宋体"/>
                <w:snapToGrid/>
                <w:color w:val="auto"/>
                <w:spacing w:val="0"/>
                <w:kern w:val="2"/>
                <w:szCs w:val="24"/>
                <w:highlight w:val="none"/>
              </w:rPr>
            </w:pPr>
            <w:r>
              <w:rPr>
                <w:rFonts w:hint="eastAsia" w:asciiTheme="minorEastAsia" w:hAnsiTheme="minorEastAsia" w:eastAsiaTheme="minorEastAsia"/>
                <w:color w:val="auto"/>
                <w:highlight w:val="none"/>
              </w:rPr>
              <w:t>706000元/年</w:t>
            </w:r>
          </w:p>
        </w:tc>
        <w:tc>
          <w:tcPr>
            <w:tcW w:w="2925" w:type="dxa"/>
            <w:tcBorders>
              <w:top w:val="single" w:color="auto" w:sz="12" w:space="0"/>
              <w:left w:val="single" w:color="auto" w:sz="4" w:space="0"/>
              <w:bottom w:val="single" w:color="auto" w:sz="12" w:space="0"/>
              <w:right w:val="single" w:color="auto" w:sz="12" w:space="0"/>
            </w:tcBorders>
            <w:vAlign w:val="center"/>
          </w:tcPr>
          <w:p>
            <w:pPr>
              <w:pStyle w:val="26"/>
              <w:snapToGrid w:val="0"/>
              <w:spacing w:before="0" w:after="0" w:line="240" w:lineRule="auto"/>
              <w:rPr>
                <w:rFonts w:ascii="宋体"/>
                <w:bCs/>
                <w:snapToGrid/>
                <w:color w:val="auto"/>
                <w:spacing w:val="0"/>
                <w:szCs w:val="24"/>
                <w:highlight w:val="none"/>
              </w:rPr>
            </w:pPr>
            <w:r>
              <w:rPr>
                <w:rFonts w:hint="eastAsia" w:ascii="宋体"/>
                <w:bCs/>
                <w:snapToGrid/>
                <w:color w:val="auto"/>
                <w:spacing w:val="0"/>
                <w:szCs w:val="24"/>
                <w:highlight w:val="none"/>
              </w:rPr>
              <w:t>自合同签订之日起一年内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4" w:hRule="atLeast"/>
        </w:trPr>
        <w:tc>
          <w:tcPr>
            <w:tcW w:w="1134" w:type="dxa"/>
            <w:tcBorders>
              <w:top w:val="single" w:color="auto" w:sz="12" w:space="0"/>
              <w:left w:val="single" w:color="auto" w:sz="12" w:space="0"/>
              <w:bottom w:val="single" w:color="auto" w:sz="12" w:space="0"/>
            </w:tcBorders>
            <w:vAlign w:val="center"/>
          </w:tcPr>
          <w:p>
            <w:pPr>
              <w:snapToGrid w:val="0"/>
              <w:jc w:val="center"/>
              <w:rPr>
                <w:rFonts w:ascii="宋体"/>
                <w:bCs/>
                <w:color w:val="auto"/>
                <w:sz w:val="24"/>
                <w:highlight w:val="none"/>
              </w:rPr>
            </w:pPr>
            <w:r>
              <w:rPr>
                <w:rFonts w:hint="eastAsia" w:ascii="宋体"/>
                <w:bCs/>
                <w:color w:val="auto"/>
                <w:sz w:val="24"/>
                <w:highlight w:val="none"/>
              </w:rPr>
              <w:t>包组四</w:t>
            </w:r>
          </w:p>
        </w:tc>
        <w:tc>
          <w:tcPr>
            <w:tcW w:w="2481" w:type="dxa"/>
            <w:tcBorders>
              <w:top w:val="single" w:color="auto" w:sz="12" w:space="0"/>
              <w:bottom w:val="single" w:color="auto" w:sz="12" w:space="0"/>
            </w:tcBorders>
            <w:vAlign w:val="center"/>
          </w:tcPr>
          <w:p>
            <w:pPr>
              <w:snapToGrid w:val="0"/>
              <w:jc w:val="center"/>
              <w:rPr>
                <w:rFonts w:ascii="宋体"/>
                <w:bCs/>
                <w:color w:val="auto"/>
                <w:sz w:val="24"/>
                <w:highlight w:val="none"/>
              </w:rPr>
            </w:pPr>
            <w:r>
              <w:rPr>
                <w:rFonts w:hint="eastAsia" w:asciiTheme="minorEastAsia" w:hAnsiTheme="minorEastAsia" w:eastAsiaTheme="minorEastAsia"/>
                <w:color w:val="auto"/>
                <w:sz w:val="24"/>
                <w:highlight w:val="none"/>
              </w:rPr>
              <w:t>除食用农产品外的其他食品类别抽检（三）</w:t>
            </w:r>
          </w:p>
        </w:tc>
        <w:tc>
          <w:tcPr>
            <w:tcW w:w="1269" w:type="dxa"/>
            <w:tcBorders>
              <w:top w:val="single" w:color="auto" w:sz="12" w:space="0"/>
              <w:bottom w:val="single" w:color="auto" w:sz="12" w:space="0"/>
            </w:tcBorders>
            <w:vAlign w:val="center"/>
          </w:tcPr>
          <w:p>
            <w:pPr>
              <w:snapToGrid w:val="0"/>
              <w:jc w:val="center"/>
              <w:rPr>
                <w:rFonts w:ascii="宋体"/>
                <w:bCs/>
                <w:color w:val="auto"/>
                <w:sz w:val="24"/>
                <w:highlight w:val="none"/>
              </w:rPr>
            </w:pPr>
            <w:r>
              <w:rPr>
                <w:rFonts w:hint="eastAsia" w:asciiTheme="minorEastAsia" w:hAnsiTheme="minorEastAsia" w:eastAsiaTheme="minorEastAsia"/>
                <w:color w:val="auto"/>
                <w:sz w:val="24"/>
                <w:highlight w:val="none"/>
              </w:rPr>
              <w:t>475批次</w:t>
            </w:r>
          </w:p>
        </w:tc>
        <w:tc>
          <w:tcPr>
            <w:tcW w:w="2415" w:type="dxa"/>
            <w:tcBorders>
              <w:top w:val="single" w:color="auto" w:sz="12" w:space="0"/>
              <w:bottom w:val="single" w:color="auto" w:sz="12" w:space="0"/>
              <w:right w:val="single" w:color="auto" w:sz="4" w:space="0"/>
            </w:tcBorders>
            <w:vAlign w:val="center"/>
          </w:tcPr>
          <w:p>
            <w:pPr>
              <w:pStyle w:val="26"/>
              <w:snapToGrid w:val="0"/>
              <w:spacing w:before="0" w:after="0" w:line="240" w:lineRule="auto"/>
              <w:rPr>
                <w:rFonts w:ascii="宋体" w:hAnsi="宋体"/>
                <w:snapToGrid/>
                <w:color w:val="auto"/>
                <w:spacing w:val="0"/>
                <w:kern w:val="2"/>
                <w:szCs w:val="24"/>
                <w:highlight w:val="none"/>
              </w:rPr>
            </w:pPr>
            <w:r>
              <w:rPr>
                <w:rFonts w:hint="eastAsia" w:asciiTheme="minorEastAsia" w:hAnsiTheme="minorEastAsia" w:eastAsiaTheme="minorEastAsia"/>
                <w:color w:val="auto"/>
                <w:highlight w:val="none"/>
              </w:rPr>
              <w:t>708000元/年</w:t>
            </w:r>
          </w:p>
        </w:tc>
        <w:tc>
          <w:tcPr>
            <w:tcW w:w="2925" w:type="dxa"/>
            <w:tcBorders>
              <w:top w:val="single" w:color="auto" w:sz="12" w:space="0"/>
              <w:left w:val="single" w:color="auto" w:sz="4" w:space="0"/>
              <w:bottom w:val="single" w:color="auto" w:sz="12" w:space="0"/>
              <w:right w:val="single" w:color="auto" w:sz="12" w:space="0"/>
            </w:tcBorders>
            <w:vAlign w:val="center"/>
          </w:tcPr>
          <w:p>
            <w:pPr>
              <w:pStyle w:val="26"/>
              <w:snapToGrid w:val="0"/>
              <w:spacing w:before="0" w:after="0" w:line="240" w:lineRule="auto"/>
              <w:rPr>
                <w:rFonts w:ascii="宋体"/>
                <w:bCs/>
                <w:snapToGrid/>
                <w:color w:val="auto"/>
                <w:spacing w:val="0"/>
                <w:szCs w:val="24"/>
                <w:highlight w:val="none"/>
              </w:rPr>
            </w:pPr>
            <w:r>
              <w:rPr>
                <w:rFonts w:hint="eastAsia" w:ascii="宋体"/>
                <w:bCs/>
                <w:snapToGrid/>
                <w:color w:val="auto"/>
                <w:spacing w:val="0"/>
                <w:szCs w:val="24"/>
                <w:highlight w:val="none"/>
              </w:rPr>
              <w:t>自合同签订之日起一年内</w:t>
            </w:r>
          </w:p>
        </w:tc>
      </w:tr>
    </w:tbl>
    <w:p>
      <w:pPr>
        <w:pStyle w:val="8"/>
        <w:numPr>
          <w:ilvl w:val="0"/>
          <w:numId w:val="10"/>
        </w:numPr>
        <w:tabs>
          <w:tab w:val="left" w:pos="540"/>
        </w:tabs>
        <w:snapToGrid w:val="0"/>
        <w:spacing w:line="360" w:lineRule="auto"/>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项目服务内容（适用于各包组）</w:t>
      </w:r>
    </w:p>
    <w:p>
      <w:pPr>
        <w:numPr>
          <w:ilvl w:val="0"/>
          <w:numId w:val="12"/>
        </w:numPr>
        <w:snapToGrid w:val="0"/>
        <w:spacing w:line="360" w:lineRule="auto"/>
        <w:ind w:left="709" w:hanging="709"/>
        <w:rPr>
          <w:rFonts w:cs="Courier New" w:asciiTheme="minorEastAsia" w:hAnsiTheme="minorEastAsia"/>
          <w:color w:val="auto"/>
          <w:sz w:val="24"/>
          <w:highlight w:val="none"/>
        </w:rPr>
      </w:pPr>
      <w:r>
        <w:rPr>
          <w:rFonts w:hint="eastAsia" w:cs="宋体" w:asciiTheme="minorEastAsia" w:hAnsiTheme="minorEastAsia"/>
          <w:color w:val="auto"/>
          <w:sz w:val="24"/>
          <w:highlight w:val="none"/>
        </w:rPr>
        <w:t>本项目的项目预算已包含中标人在项目实施过程中的检验费、购样费、抽样机、分析报告等所有费用，采购人不另外支付其他费用。</w:t>
      </w:r>
    </w:p>
    <w:p>
      <w:pPr>
        <w:numPr>
          <w:ilvl w:val="0"/>
          <w:numId w:val="12"/>
        </w:numPr>
        <w:snapToGrid w:val="0"/>
        <w:spacing w:line="360" w:lineRule="auto"/>
        <w:ind w:left="709" w:hanging="709"/>
        <w:rPr>
          <w:rFonts w:ascii="宋体" w:hAnsi="宋体" w:cs="宋体"/>
          <w:color w:val="auto"/>
          <w:sz w:val="24"/>
          <w:highlight w:val="none"/>
        </w:rPr>
      </w:pPr>
      <w:r>
        <w:rPr>
          <w:rFonts w:ascii="宋体" w:hAnsi="宋体" w:eastAsia="宋体" w:cs="宋体"/>
          <w:color w:val="auto"/>
          <w:sz w:val="24"/>
          <w:szCs w:val="24"/>
          <w:highlight w:val="none"/>
        </w:rPr>
        <w:t>受疫情影响，项目资金如因财政减支原因造成项目资金减少情况下，实际项目量将以财政拨款金额进行调整，直至财政拨款款项使用完毕后，项目结束。采购人不承担因财政减支原因对中标人造成的项目损失。</w:t>
      </w:r>
    </w:p>
    <w:p>
      <w:pPr>
        <w:numPr>
          <w:ilvl w:val="0"/>
          <w:numId w:val="12"/>
        </w:numPr>
        <w:snapToGrid w:val="0"/>
        <w:spacing w:line="360" w:lineRule="auto"/>
        <w:ind w:left="709" w:hanging="709"/>
        <w:rPr>
          <w:rFonts w:ascii="宋体" w:hAnsi="宋体" w:cs="宋体"/>
          <w:color w:val="auto"/>
          <w:sz w:val="24"/>
          <w:highlight w:val="none"/>
        </w:rPr>
      </w:pPr>
      <w:r>
        <w:rPr>
          <w:rFonts w:hint="eastAsia" w:cs="宋体" w:asciiTheme="minorEastAsia" w:hAnsiTheme="minorEastAsia"/>
          <w:color w:val="auto"/>
          <w:sz w:val="24"/>
          <w:highlight w:val="none"/>
        </w:rPr>
        <w:t>基本</w:t>
      </w:r>
      <w:r>
        <w:rPr>
          <w:rFonts w:hint="eastAsia" w:ascii="宋体" w:hAnsi="宋体" w:cs="宋体"/>
          <w:color w:val="auto"/>
          <w:sz w:val="24"/>
          <w:highlight w:val="none"/>
        </w:rPr>
        <w:t>要求</w:t>
      </w:r>
    </w:p>
    <w:p>
      <w:pPr>
        <w:pStyle w:val="24"/>
        <w:numPr>
          <w:ilvl w:val="0"/>
          <w:numId w:val="13"/>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中标人能在国家食品安全抽样检验信息系统中出具含电子签章的检验报告。</w:t>
      </w:r>
    </w:p>
    <w:p>
      <w:pPr>
        <w:pStyle w:val="24"/>
        <w:numPr>
          <w:ilvl w:val="0"/>
          <w:numId w:val="13"/>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中标人及其检验人应当依照有关法律法规的规定从事食品检验活动。应当尊重科学，恪守职业道德，保证出具的检验数据和结论客观、公正、准确、可追溯，不得出具虚假检验数据和报告。</w:t>
      </w:r>
    </w:p>
    <w:p>
      <w:pPr>
        <w:pStyle w:val="24"/>
        <w:numPr>
          <w:ilvl w:val="0"/>
          <w:numId w:val="13"/>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依据依照食品安全国家标准。对没有食品安全国家标准的，可按照地方标准、食品卫生标准、食品质量标准和有关食品的行业标准，食品安全地方标准，企业标准、产品标签明示值或国家明文规定的限量值及国家指定的特定检验方法等进行检验。应急情况下，可采用经科学验证的参考方法和内部方法。</w:t>
      </w:r>
    </w:p>
    <w:p>
      <w:pPr>
        <w:pStyle w:val="24"/>
        <w:numPr>
          <w:ilvl w:val="0"/>
          <w:numId w:val="13"/>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中标人负责提供每次检验所需的交通工具，积极配合抽检工作。</w:t>
      </w:r>
    </w:p>
    <w:p>
      <w:pPr>
        <w:pStyle w:val="24"/>
        <w:numPr>
          <w:ilvl w:val="0"/>
          <w:numId w:val="13"/>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中标人实验室检验设备、检验人员充裕，能满足食品检验的特殊要求，能按时按质完成抽检任务，出具合法有效的检验报告。</w:t>
      </w:r>
    </w:p>
    <w:p>
      <w:pPr>
        <w:pStyle w:val="24"/>
        <w:numPr>
          <w:ilvl w:val="0"/>
          <w:numId w:val="13"/>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中标人技术服务水平高，采样操作规范，实验室质量控制严格，近3年无食品检验数据严重质量问题。</w:t>
      </w:r>
    </w:p>
    <w:p>
      <w:pPr>
        <w:pStyle w:val="24"/>
        <w:numPr>
          <w:ilvl w:val="0"/>
          <w:numId w:val="13"/>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中标人应按照专业操守尽职尽责，根据国内的相关标准进行样品的抽样、检验及判定工作，并且按当次抽检方案约定日期出具检验报告；在采购人与第三方同等的条件下，中标人应优先完成对采购人的抽检和监测任务。</w:t>
      </w:r>
    </w:p>
    <w:p>
      <w:pPr>
        <w:pStyle w:val="24"/>
        <w:numPr>
          <w:ilvl w:val="0"/>
          <w:numId w:val="13"/>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食品安全抽检监测工作遵照</w:t>
      </w:r>
      <w:r>
        <w:rPr>
          <w:rFonts w:hint="eastAsia" w:ascii="宋体" w:hAnsi="宋体" w:cs="宋体"/>
          <w:color w:val="auto"/>
          <w:sz w:val="24"/>
          <w:highlight w:val="none"/>
          <w:lang w:eastAsia="zh-CN"/>
        </w:rPr>
        <w:t>国家市场监督管理总局制定的</w:t>
      </w:r>
      <w:r>
        <w:rPr>
          <w:rFonts w:hint="eastAsia" w:ascii="宋体" w:hAnsi="宋体" w:cs="宋体"/>
          <w:color w:val="auto"/>
          <w:sz w:val="24"/>
          <w:highlight w:val="none"/>
        </w:rPr>
        <w:t>最新工作规范执行。</w:t>
      </w:r>
    </w:p>
    <w:p>
      <w:pPr>
        <w:pStyle w:val="24"/>
        <w:numPr>
          <w:ilvl w:val="0"/>
          <w:numId w:val="13"/>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中标人对检验结果的真实性负责，由于虚假、错误检验数据和结论而给被检人造成损失的，或者给社会带来不良影响的，取消其承检资格，并承担赔偿责任及相应法律责任。</w:t>
      </w:r>
    </w:p>
    <w:p>
      <w:pPr>
        <w:pStyle w:val="24"/>
        <w:keepNext w:val="0"/>
        <w:keepLines w:val="0"/>
        <w:pageBreakBefore w:val="0"/>
        <w:widowControl w:val="0"/>
        <w:numPr>
          <w:ilvl w:val="0"/>
          <w:numId w:val="13"/>
        </w:numPr>
        <w:tabs>
          <w:tab w:val="left" w:pos="2340"/>
        </w:tabs>
        <w:kinsoku/>
        <w:wordWrap/>
        <w:overflowPunct/>
        <w:topLinePunct w:val="0"/>
        <w:autoSpaceDE/>
        <w:autoSpaceDN/>
        <w:bidi w:val="0"/>
        <w:adjustRightInd w:val="0"/>
        <w:snapToGrid/>
        <w:spacing w:line="360" w:lineRule="auto"/>
        <w:ind w:left="839" w:hanging="420" w:firstLineChars="0"/>
        <w:textAlignment w:val="baseline"/>
        <w:rPr>
          <w:rFonts w:ascii="宋体" w:hAnsi="宋体" w:cs="宋体"/>
          <w:color w:val="auto"/>
          <w:sz w:val="24"/>
          <w:highlight w:val="none"/>
        </w:rPr>
      </w:pPr>
      <w:r>
        <w:rPr>
          <w:rFonts w:hint="eastAsia" w:ascii="宋体" w:hAnsi="宋体" w:cs="宋体"/>
          <w:color w:val="auto"/>
          <w:sz w:val="24"/>
          <w:highlight w:val="none"/>
        </w:rPr>
        <w:t>涉及抽样的全部情况包括数据及结果，中标人必须对抽检监测的结果及数据等信息保密，不得向除采购人外的任何单位与个人透露，否则取消其承检资格；如造成经济损失及不良影响的，追究其经济赔偿责任和法律责任。</w:t>
      </w:r>
    </w:p>
    <w:p>
      <w:pPr>
        <w:pStyle w:val="24"/>
        <w:keepNext w:val="0"/>
        <w:keepLines w:val="0"/>
        <w:pageBreakBefore w:val="0"/>
        <w:widowControl w:val="0"/>
        <w:numPr>
          <w:ilvl w:val="0"/>
          <w:numId w:val="13"/>
        </w:numPr>
        <w:tabs>
          <w:tab w:val="left" w:pos="2340"/>
        </w:tabs>
        <w:kinsoku/>
        <w:wordWrap/>
        <w:overflowPunct/>
        <w:topLinePunct w:val="0"/>
        <w:autoSpaceDE/>
        <w:autoSpaceDN/>
        <w:bidi w:val="0"/>
        <w:adjustRightInd w:val="0"/>
        <w:snapToGrid/>
        <w:spacing w:line="360" w:lineRule="auto"/>
        <w:ind w:left="839" w:hanging="420" w:firstLineChars="0"/>
        <w:textAlignment w:val="baseline"/>
        <w:rPr>
          <w:rFonts w:ascii="宋体" w:hAnsi="宋体" w:cs="宋体"/>
          <w:color w:val="auto"/>
          <w:sz w:val="24"/>
          <w:highlight w:val="none"/>
        </w:rPr>
      </w:pPr>
      <w:r>
        <w:rPr>
          <w:rFonts w:hint="eastAsia" w:ascii="宋体" w:hAnsi="宋体" w:cs="宋体"/>
          <w:color w:val="auto"/>
          <w:sz w:val="24"/>
          <w:highlight w:val="none"/>
        </w:rPr>
        <w:t>中标人应积极配合采购人开展抽检及后续工作，及时反馈检验不合格样品的信息。应安排专人与采购人联系，并提供手机、QQ、微信、邮箱等联系方式，必要时应在半小时内及时响应采购人需求，2小时内到达采购人指定地点。</w:t>
      </w:r>
    </w:p>
    <w:p>
      <w:pPr>
        <w:pStyle w:val="24"/>
        <w:keepNext w:val="0"/>
        <w:keepLines w:val="0"/>
        <w:pageBreakBefore w:val="0"/>
        <w:widowControl w:val="0"/>
        <w:numPr>
          <w:ilvl w:val="0"/>
          <w:numId w:val="13"/>
        </w:numPr>
        <w:tabs>
          <w:tab w:val="left" w:pos="2340"/>
        </w:tabs>
        <w:kinsoku/>
        <w:wordWrap/>
        <w:overflowPunct/>
        <w:topLinePunct w:val="0"/>
        <w:autoSpaceDE/>
        <w:autoSpaceDN/>
        <w:bidi w:val="0"/>
        <w:adjustRightInd w:val="0"/>
        <w:snapToGrid/>
        <w:spacing w:line="360" w:lineRule="auto"/>
        <w:ind w:left="839" w:hanging="420" w:firstLineChars="0"/>
        <w:textAlignment w:val="baseline"/>
        <w:rPr>
          <w:rFonts w:ascii="宋体" w:hAnsi="宋体" w:cs="宋体"/>
          <w:color w:val="auto"/>
          <w:sz w:val="24"/>
          <w:highlight w:val="none"/>
        </w:rPr>
      </w:pPr>
      <w:r>
        <w:rPr>
          <w:rFonts w:hint="eastAsia" w:ascii="宋体" w:hAnsi="宋体" w:cs="宋体"/>
          <w:color w:val="auto"/>
          <w:sz w:val="24"/>
          <w:highlight w:val="none"/>
        </w:rPr>
        <w:t>中标人应及时响应应急任务需求，可在180分钟内将样品送达实验室，具备实施应急抽检的能力和经验。此外，还</w:t>
      </w:r>
      <w:r>
        <w:rPr>
          <w:rFonts w:hint="eastAsia" w:asciiTheme="minorEastAsia" w:hAnsiTheme="minorEastAsia"/>
          <w:color w:val="auto"/>
          <w:sz w:val="24"/>
          <w:highlight w:val="none"/>
        </w:rPr>
        <w:t>需具有网络订餐（外卖）微生物项目抽检能力</w:t>
      </w:r>
      <w:r>
        <w:rPr>
          <w:rFonts w:asciiTheme="minorEastAsia" w:hAnsiTheme="minorEastAsia"/>
          <w:color w:val="auto"/>
          <w:sz w:val="24"/>
          <w:highlight w:val="none"/>
        </w:rPr>
        <w:t>(符合国家相关检测标准)</w:t>
      </w:r>
      <w:r>
        <w:rPr>
          <w:rFonts w:hint="eastAsia" w:asciiTheme="minorEastAsia" w:hAnsiTheme="minorEastAsia"/>
          <w:color w:val="auto"/>
          <w:sz w:val="24"/>
          <w:highlight w:val="none"/>
        </w:rPr>
        <w:t>，并</w:t>
      </w:r>
      <w:r>
        <w:rPr>
          <w:rFonts w:hint="eastAsia" w:asciiTheme="minorEastAsia" w:hAnsiTheme="minorEastAsia"/>
          <w:bCs/>
          <w:color w:val="auto"/>
          <w:sz w:val="24"/>
          <w:highlight w:val="none"/>
        </w:rPr>
        <w:t>及时将样品在120分钟内送达实验室进行检验。</w:t>
      </w:r>
    </w:p>
    <w:p>
      <w:pPr>
        <w:pStyle w:val="24"/>
        <w:numPr>
          <w:ilvl w:val="0"/>
          <w:numId w:val="13"/>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中标人对其抽取的样品负责，检验结果反映送检样品的真实状况。</w:t>
      </w:r>
    </w:p>
    <w:p>
      <w:pPr>
        <w:pStyle w:val="24"/>
        <w:numPr>
          <w:ilvl w:val="0"/>
          <w:numId w:val="13"/>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中标人应针对每次任务提供承接项目的质量保障计划、措施和结果，保证原始记录规范完整，并接受开平市市场监督管理局组织的专家检查及评估。</w:t>
      </w:r>
    </w:p>
    <w:p>
      <w:pPr>
        <w:pStyle w:val="24"/>
        <w:numPr>
          <w:ilvl w:val="0"/>
          <w:numId w:val="13"/>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对中标人在开展抽检监测过程中弄虚作假或不配合采购人开展工作的，取消其承检资格，并追究其经济赔偿责任和法律责任。</w:t>
      </w:r>
    </w:p>
    <w:p>
      <w:pPr>
        <w:numPr>
          <w:ilvl w:val="0"/>
          <w:numId w:val="12"/>
        </w:numPr>
        <w:snapToGrid w:val="0"/>
        <w:spacing w:line="360" w:lineRule="auto"/>
        <w:ind w:left="709" w:hanging="709"/>
        <w:rPr>
          <w:rFonts w:ascii="宋体" w:hAnsi="宋体" w:cs="宋体"/>
          <w:b/>
          <w:color w:val="auto"/>
          <w:sz w:val="24"/>
          <w:highlight w:val="none"/>
        </w:rPr>
      </w:pPr>
      <w:r>
        <w:rPr>
          <w:rFonts w:hint="eastAsia" w:ascii="宋体" w:hAnsi="宋体" w:cs="宋体"/>
          <w:b/>
          <w:color w:val="auto"/>
          <w:sz w:val="24"/>
          <w:highlight w:val="none"/>
        </w:rPr>
        <w:t>中标人应履行的职责</w:t>
      </w:r>
    </w:p>
    <w:p>
      <w:pPr>
        <w:pStyle w:val="24"/>
        <w:numPr>
          <w:ilvl w:val="0"/>
          <w:numId w:val="14"/>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采样地点：开平市内，每次任务根据实际工作要求确定具体采样地点。中标人应</w:t>
      </w:r>
      <w:r>
        <w:rPr>
          <w:rFonts w:hint="eastAsia" w:ascii="宋体" w:hAnsi="宋体" w:cs="宋体"/>
          <w:color w:val="auto"/>
          <w:sz w:val="24"/>
          <w:highlight w:val="none"/>
          <w:u w:val="single"/>
        </w:rPr>
        <w:t>按</w:t>
      </w:r>
      <w:r>
        <w:rPr>
          <w:rFonts w:hint="eastAsia" w:ascii="宋体" w:hAnsi="宋体" w:cs="宋体"/>
          <w:color w:val="auto"/>
          <w:sz w:val="24"/>
          <w:highlight w:val="none"/>
        </w:rPr>
        <w:t>采购人要求准时到达指定采样地点。</w:t>
      </w:r>
    </w:p>
    <w:p>
      <w:pPr>
        <w:pStyle w:val="24"/>
        <w:numPr>
          <w:ilvl w:val="0"/>
          <w:numId w:val="14"/>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采样人员：协助监督执法人员采样或者受</w:t>
      </w:r>
      <w:r>
        <w:rPr>
          <w:rFonts w:hint="eastAsia" w:ascii="宋体" w:hAnsi="宋体" w:cs="宋体"/>
          <w:color w:val="auto"/>
          <w:sz w:val="24"/>
          <w:highlight w:val="none"/>
          <w:lang w:eastAsia="zh-CN"/>
        </w:rPr>
        <w:t>开平市市场监督管理局</w:t>
      </w:r>
      <w:r>
        <w:rPr>
          <w:rFonts w:hint="eastAsia" w:ascii="宋体" w:hAnsi="宋体" w:cs="宋体"/>
          <w:color w:val="auto"/>
          <w:sz w:val="24"/>
          <w:highlight w:val="none"/>
        </w:rPr>
        <w:t>委托独立开展采样，提供符合食品抽样要求的相关工具、容器，受委托采样时应当出示监督抽检通知书、委托书等文件及有效身份证明文件，并且具有采样资格的人员不得少于2人。</w:t>
      </w:r>
    </w:p>
    <w:p>
      <w:pPr>
        <w:pStyle w:val="24"/>
        <w:numPr>
          <w:ilvl w:val="0"/>
          <w:numId w:val="14"/>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采样办法：根据检验项目及国家标准中规定的采样方法及采样数量抽取样品。</w:t>
      </w:r>
    </w:p>
    <w:p>
      <w:pPr>
        <w:pStyle w:val="24"/>
        <w:numPr>
          <w:ilvl w:val="0"/>
          <w:numId w:val="14"/>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样品运输：由中标人负责，具备单日安排至少4台抽检车辆的能力，并确保样品质量不受影响，如开平市市场监督管理局有紧急批量抽检任务，可同时安排4个以上的抽检小组参加抽样。</w:t>
      </w:r>
    </w:p>
    <w:p>
      <w:pPr>
        <w:pStyle w:val="24"/>
        <w:numPr>
          <w:ilvl w:val="0"/>
          <w:numId w:val="14"/>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样品保存：抽（采）样过程应当确保样品的完整性、安全性和稳定性。样品数量应当满足检验工作的需要。建立检验结果复验程序，在检验结果不合格或存疑等情况时进行复验并保存记录，确保数据结果准确可靠。</w:t>
      </w:r>
    </w:p>
    <w:p>
      <w:pPr>
        <w:pStyle w:val="24"/>
        <w:numPr>
          <w:ilvl w:val="0"/>
          <w:numId w:val="14"/>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样品检验：由中标人负责，并对样品检验结果负责。检验应当严格依据标准检验方法或经确认的非标准检验方法，确保方法中相关要求的有效实施，如果国家检验标准有变化的，按照最新发布的检验要求进行。必须按照开平市市场监督管理局要求完成检验品种的规定项目，且承担全部抽检品种的检验检测。</w:t>
      </w:r>
    </w:p>
    <w:p>
      <w:pPr>
        <w:pStyle w:val="24"/>
        <w:numPr>
          <w:ilvl w:val="0"/>
          <w:numId w:val="14"/>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结果判定：检验项目中有一项不符合标准要求即判定本批次食品样品抽检不合格。</w:t>
      </w:r>
    </w:p>
    <w:p>
      <w:pPr>
        <w:pStyle w:val="24"/>
        <w:numPr>
          <w:ilvl w:val="0"/>
          <w:numId w:val="14"/>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结果送达：中标人应在规定的时间内完成开平市市场监督管理局部署的抽检监测工作，依法出具检验报告，并按要求及时送达。食品抽检监测的检验结论合格的，中标人应当在检验结论做出后5个工作日内，将检验报告报送至采购人。食品抽检监测检验结论不合格的，中标人应当在检验结论做出后2个工作日内，将不合格检验报告，以及抽取该样品时采集的现场信息和抽样文书等材料报送至采购人，不合格检测报告为一式四份。中标人应保存邮件详情单，以备查询。抽检方未经开平市市场监督管理局同意不得擅自将不合格的检验结果告知被抽检单位，一经发现立即取消资格。法律法规规定必须提供的其他文书也一并送达。报告邮递费由检验机构承担。</w:t>
      </w:r>
    </w:p>
    <w:p>
      <w:pPr>
        <w:pStyle w:val="24"/>
        <w:numPr>
          <w:ilvl w:val="0"/>
          <w:numId w:val="14"/>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总结分析：对所检验样品依法出具检验报告，并撰写监督抽检总结分析报告，报告应包括以下内容：组织实施情况（包括采样分布、抽检品种及项目、抽检频次及数量等）、抽检结果分析、发现的主要问题及原因等。每季度初前需向开平市市场监督管理局报送按品种按地区分别统计的上季度抽检汇总表和情况分析。</w:t>
      </w:r>
    </w:p>
    <w:p>
      <w:pPr>
        <w:numPr>
          <w:ilvl w:val="0"/>
          <w:numId w:val="14"/>
        </w:numPr>
        <w:spacing w:line="360" w:lineRule="auto"/>
        <w:rPr>
          <w:rFonts w:ascii="宋体" w:hAnsi="宋体" w:cs="宋体"/>
          <w:color w:val="auto"/>
          <w:kern w:val="2"/>
          <w:sz w:val="24"/>
          <w:highlight w:val="none"/>
        </w:rPr>
      </w:pPr>
      <w:r>
        <w:rPr>
          <w:rFonts w:hint="eastAsia" w:ascii="宋体" w:hAnsi="宋体" w:cs="宋体"/>
          <w:color w:val="auto"/>
          <w:kern w:val="2"/>
          <w:sz w:val="24"/>
          <w:highlight w:val="none"/>
        </w:rPr>
        <w:t>全市全年汇总分析：收集全市全年各环节的食品抽检数据，检验机构发挥专业技术水平，为</w:t>
      </w:r>
      <w:r>
        <w:rPr>
          <w:rFonts w:hint="eastAsia" w:ascii="宋体" w:hAnsi="宋体" w:cs="宋体"/>
          <w:color w:val="auto"/>
          <w:sz w:val="24"/>
          <w:highlight w:val="none"/>
        </w:rPr>
        <w:t>开平市市场监督管理局</w:t>
      </w:r>
      <w:r>
        <w:rPr>
          <w:rFonts w:hint="eastAsia" w:ascii="宋体" w:hAnsi="宋体" w:cs="宋体"/>
          <w:color w:val="auto"/>
          <w:kern w:val="2"/>
          <w:sz w:val="24"/>
          <w:highlight w:val="none"/>
        </w:rPr>
        <w:t>食品安全监管工作提供强力的技术支撑，全面分析全市全年食品安全监管现状和食品抽检工作总体情况，按不同品种、环节、辖区进行抽检情况分析（含数据图表分析），对不合格项目的危害及警示等，提出今后加强食品安全监管工作的指向。</w:t>
      </w:r>
    </w:p>
    <w:p>
      <w:pPr>
        <w:pStyle w:val="24"/>
        <w:numPr>
          <w:ilvl w:val="0"/>
          <w:numId w:val="14"/>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按照开平市市场监督管理局的要求，及时将检验报告的相关资料录入国家食品安全监督抽样检验信息系统和广东智慧食药监系统。</w:t>
      </w:r>
    </w:p>
    <w:p>
      <w:pPr>
        <w:pStyle w:val="24"/>
        <w:numPr>
          <w:ilvl w:val="0"/>
          <w:numId w:val="14"/>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监督整改：接受开平市市场监督管理局及开平市食品检验所有关技术人员的质量监督、对发现的问题立即改正。</w:t>
      </w:r>
    </w:p>
    <w:p>
      <w:pPr>
        <w:numPr>
          <w:ilvl w:val="0"/>
          <w:numId w:val="12"/>
        </w:numPr>
        <w:snapToGrid w:val="0"/>
        <w:spacing w:line="360" w:lineRule="auto"/>
        <w:ind w:left="709" w:hanging="709"/>
        <w:rPr>
          <w:rFonts w:ascii="宋体" w:hAnsi="宋体" w:cs="宋体"/>
          <w:b/>
          <w:color w:val="auto"/>
          <w:sz w:val="24"/>
          <w:highlight w:val="none"/>
        </w:rPr>
      </w:pPr>
      <w:r>
        <w:rPr>
          <w:rFonts w:hint="eastAsia" w:ascii="宋体" w:hAnsi="宋体" w:cs="宋体"/>
          <w:b/>
          <w:color w:val="auto"/>
          <w:sz w:val="24"/>
          <w:highlight w:val="none"/>
        </w:rPr>
        <w:t>中标人从业人员及设备要求</w:t>
      </w:r>
    </w:p>
    <w:p>
      <w:pPr>
        <w:pStyle w:val="24"/>
        <w:numPr>
          <w:ilvl w:val="0"/>
          <w:numId w:val="15"/>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人员应当熟悉掌握食品安全标准、卫生标准等标准，有能力按照最新相关标准规定的方法从事检测工作，因抽检内容多且繁杂，要求具有高级职称或博士学位的人员，需配备一支专业团队，为开平市市场监督管理局研判检验报告和日常监管工作提供权威有力的技术支撑。</w:t>
      </w:r>
    </w:p>
    <w:p>
      <w:pPr>
        <w:pStyle w:val="24"/>
        <w:numPr>
          <w:ilvl w:val="0"/>
          <w:numId w:val="15"/>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检验机构从业人员应持证上岗，抽样人员和检验人员工作稳定性强，能保证食品抽样检验工作的连续性和稳定性。</w:t>
      </w:r>
    </w:p>
    <w:p>
      <w:pPr>
        <w:pStyle w:val="24"/>
        <w:numPr>
          <w:ilvl w:val="0"/>
          <w:numId w:val="15"/>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检验人员相关工作经验丰富、数量充足能够及时出具准确的检测数据，要求在抽样之日起15个工作日内出具检验报告，能独立承担抽样、检测、数据汇总、结果报送工作。</w:t>
      </w:r>
    </w:p>
    <w:p>
      <w:pPr>
        <w:pStyle w:val="24"/>
        <w:numPr>
          <w:ilvl w:val="0"/>
          <w:numId w:val="15"/>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检验机构应当建立健全仪器设备、标准物质、标准菌（毒）种管理制度，规范管理使用，加强核查，确保其准确可靠，并满足溯源性要求。</w:t>
      </w:r>
    </w:p>
    <w:p>
      <w:pPr>
        <w:pStyle w:val="24"/>
        <w:numPr>
          <w:ilvl w:val="0"/>
          <w:numId w:val="15"/>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检验机构实验室应正确配备满足所开展的检验活动必需的仪器设备（包括软件）、抽样、样品制备和前处理装置以及标准物质(参考物质)或标准菌种、数据处理与分析设备</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冷库、冷库车</w:t>
      </w:r>
      <w:r>
        <w:rPr>
          <w:rFonts w:hint="eastAsia" w:ascii="宋体" w:hAnsi="宋体" w:cs="宋体"/>
          <w:color w:val="auto"/>
          <w:sz w:val="24"/>
          <w:highlight w:val="none"/>
        </w:rPr>
        <w:t>等。所用仪器设备的技术指标和功能应满足要求，量程应与被测参数的技术指标相适应。</w:t>
      </w:r>
    </w:p>
    <w:p>
      <w:pPr>
        <w:pStyle w:val="24"/>
        <w:numPr>
          <w:ilvl w:val="0"/>
          <w:numId w:val="15"/>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检验机构能够提供高质量的技术服务，能够及时解决抽检过程中遇到的难题。技术团队有相当数量的中、高级职称或硕士以上高学历的技术人员，具有先进的检测设备。</w:t>
      </w:r>
    </w:p>
    <w:p>
      <w:pPr>
        <w:pStyle w:val="24"/>
        <w:numPr>
          <w:ilvl w:val="0"/>
          <w:numId w:val="15"/>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投标人应在</w:t>
      </w:r>
      <w:r>
        <w:rPr>
          <w:rFonts w:hint="eastAsia" w:asciiTheme="minorEastAsia" w:hAnsiTheme="minorEastAsia"/>
          <w:color w:val="auto"/>
          <w:sz w:val="24"/>
          <w:highlight w:val="none"/>
        </w:rPr>
        <w:t>江门地区内开设</w:t>
      </w:r>
      <w:r>
        <w:rPr>
          <w:rFonts w:hint="eastAsia" w:ascii="宋体" w:hAnsi="宋体" w:cs="宋体"/>
          <w:color w:val="auto"/>
          <w:sz w:val="24"/>
          <w:highlight w:val="none"/>
        </w:rPr>
        <w:t>实验室</w:t>
      </w:r>
      <w:r>
        <w:rPr>
          <w:rFonts w:hint="eastAsia" w:asciiTheme="minorEastAsia" w:hAnsiTheme="minorEastAsia"/>
          <w:color w:val="auto"/>
          <w:sz w:val="24"/>
          <w:highlight w:val="none"/>
        </w:rPr>
        <w:t>或承诺中标后(自合同签订之日起6个月内）在江门地区开设</w:t>
      </w:r>
      <w:r>
        <w:rPr>
          <w:rFonts w:hint="eastAsia" w:ascii="宋体" w:hAnsi="宋体" w:cs="宋体"/>
          <w:color w:val="auto"/>
          <w:sz w:val="24"/>
          <w:highlight w:val="none"/>
        </w:rPr>
        <w:t>实验室，以及专用于食品检验活动所需的检测、环境控制、冷藏和冷冻、数据处理与分析、信息传输设施和设备。</w:t>
      </w:r>
    </w:p>
    <w:p>
      <w:pPr>
        <w:pStyle w:val="24"/>
        <w:numPr>
          <w:ilvl w:val="0"/>
          <w:numId w:val="15"/>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为保证项目质量及样品检测及时性，投标人在</w:t>
      </w:r>
      <w:r>
        <w:rPr>
          <w:rFonts w:hint="eastAsia" w:ascii="宋体" w:hAnsi="宋体" w:cs="宋体"/>
          <w:color w:val="auto"/>
          <w:sz w:val="24"/>
          <w:highlight w:val="none"/>
          <w:lang w:eastAsia="zh-CN"/>
        </w:rPr>
        <w:t>开平</w:t>
      </w:r>
      <w:r>
        <w:rPr>
          <w:rFonts w:hint="eastAsia" w:ascii="宋体" w:hAnsi="宋体" w:cs="宋体"/>
          <w:color w:val="auto"/>
          <w:sz w:val="24"/>
          <w:highlight w:val="none"/>
        </w:rPr>
        <w:t>市设立服务点或承诺中标后（自合同签订之日起1个月内）在</w:t>
      </w:r>
      <w:r>
        <w:rPr>
          <w:rFonts w:hint="eastAsia" w:ascii="宋体" w:hAnsi="宋体" w:cs="宋体"/>
          <w:color w:val="auto"/>
          <w:sz w:val="24"/>
          <w:highlight w:val="none"/>
          <w:lang w:eastAsia="zh-CN"/>
        </w:rPr>
        <w:t>开平</w:t>
      </w:r>
      <w:r>
        <w:rPr>
          <w:rFonts w:hint="eastAsia" w:ascii="宋体" w:hAnsi="宋体" w:cs="宋体"/>
          <w:color w:val="auto"/>
          <w:sz w:val="24"/>
          <w:highlight w:val="none"/>
        </w:rPr>
        <w:t>市设立服务点，服务点要求至少配备两名技术人员及一辆检测车。</w:t>
      </w:r>
    </w:p>
    <w:p>
      <w:pPr>
        <w:pStyle w:val="24"/>
        <w:numPr>
          <w:ilvl w:val="0"/>
          <w:numId w:val="15"/>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检验机构实验室应当有完善的仪器设备档案、人员技术档案、检验资料档案、标准物质和标准菌种档案。档案保存期限应当满足相关法律法规要求和检验工作追溯需要。</w:t>
      </w:r>
    </w:p>
    <w:p>
      <w:pPr>
        <w:pStyle w:val="24"/>
        <w:numPr>
          <w:ilvl w:val="0"/>
          <w:numId w:val="15"/>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检验机构应配备专门从事（有资格）抽样工作的人员，具备专用于食品抽样活动所需的车辆、抽样冷藏设施。</w:t>
      </w:r>
    </w:p>
    <w:p>
      <w:pPr>
        <w:pStyle w:val="24"/>
        <w:numPr>
          <w:ilvl w:val="0"/>
          <w:numId w:val="15"/>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机构有明确规范的关于承担政府部门委托食品抽样检验的工作制度和程序，实施针对性的专项质量控制活动，严格按照任务委托部门制定的计划、实施方案和指定的检验方法进行抽（采）样、检验和结果上报，不得有意回避或者选择性抽样，不得事先有意告知被抽样单位，不得瞒报、谎报数据结果等信息，不得擅自对外发布或者泄露数据。</w:t>
      </w:r>
    </w:p>
    <w:p>
      <w:pPr>
        <w:pStyle w:val="24"/>
        <w:numPr>
          <w:ilvl w:val="0"/>
          <w:numId w:val="15"/>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抽样和检验分离。即对某一食品样品的抽检，承检机构派出的抽样人员与检验人员不得为同一人。</w:t>
      </w:r>
    </w:p>
    <w:p>
      <w:pPr>
        <w:pStyle w:val="24"/>
        <w:numPr>
          <w:ilvl w:val="0"/>
          <w:numId w:val="15"/>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中标人须对抽检过程进行录像，并保存视频不少于1年，如采购人需要，中标人需及时调档视频。</w:t>
      </w:r>
    </w:p>
    <w:p>
      <w:pPr>
        <w:pStyle w:val="24"/>
        <w:numPr>
          <w:ilvl w:val="0"/>
          <w:numId w:val="15"/>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投标人需针对本项目详细制定以下内容：①公司管理制度②抽样管理制度③检验检测管理制度④信息保密制度⑤应急响应制度。</w:t>
      </w:r>
    </w:p>
    <w:p>
      <w:pPr>
        <w:numPr>
          <w:ilvl w:val="0"/>
          <w:numId w:val="12"/>
        </w:numPr>
        <w:snapToGrid w:val="0"/>
        <w:spacing w:line="360" w:lineRule="auto"/>
        <w:ind w:left="709" w:hanging="709"/>
        <w:rPr>
          <w:rFonts w:ascii="宋体" w:hAnsi="宋体" w:cs="宋体"/>
          <w:b/>
          <w:color w:val="auto"/>
          <w:sz w:val="24"/>
          <w:highlight w:val="none"/>
        </w:rPr>
      </w:pPr>
      <w:r>
        <w:rPr>
          <w:rFonts w:hint="eastAsia" w:ascii="宋体" w:hAnsi="宋体" w:cs="宋体"/>
          <w:b/>
          <w:color w:val="auto"/>
          <w:sz w:val="24"/>
          <w:highlight w:val="none"/>
        </w:rPr>
        <w:t>采样及送样要求</w:t>
      </w:r>
      <w:r>
        <w:rPr>
          <w:rFonts w:hint="eastAsia" w:asciiTheme="minorEastAsia" w:hAnsiTheme="minorEastAsia"/>
          <w:b/>
          <w:color w:val="auto"/>
          <w:sz w:val="24"/>
          <w:highlight w:val="none"/>
        </w:rPr>
        <w:t>（适用于各包组）</w:t>
      </w:r>
    </w:p>
    <w:p>
      <w:pPr>
        <w:pStyle w:val="24"/>
        <w:numPr>
          <w:ilvl w:val="0"/>
          <w:numId w:val="16"/>
        </w:numPr>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中标人应根据抽检计划，安排相关人员及车辆，并提供抽样相关工具、容器，全程协助监督执法人员采样或受开平市市场监督管理局委托独立开展采样。</w:t>
      </w:r>
    </w:p>
    <w:p>
      <w:pPr>
        <w:numPr>
          <w:ilvl w:val="0"/>
          <w:numId w:val="16"/>
        </w:numPr>
        <w:spacing w:line="360" w:lineRule="auto"/>
        <w:rPr>
          <w:rFonts w:ascii="宋体" w:hAnsi="宋体" w:cs="宋体"/>
          <w:color w:val="auto"/>
          <w:sz w:val="24"/>
          <w:highlight w:val="none"/>
        </w:rPr>
      </w:pPr>
      <w:r>
        <w:rPr>
          <w:rFonts w:hint="eastAsia" w:ascii="宋体" w:hAnsi="宋体" w:cs="宋体"/>
          <w:color w:val="auto"/>
          <w:sz w:val="24"/>
          <w:highlight w:val="none"/>
        </w:rPr>
        <w:t>中标人在进行食品抽样检验时，必须依据《食品安全抽样检验管理办法》和《食品安全监督抽检和风险监测工作规范》的有关规定，并严格按照</w:t>
      </w:r>
      <w:r>
        <w:rPr>
          <w:rFonts w:hint="eastAsia" w:ascii="宋体" w:hAnsi="宋体" w:cs="宋体"/>
          <w:color w:val="auto"/>
          <w:sz w:val="24"/>
          <w:highlight w:val="none"/>
          <w:lang w:eastAsia="zh-CN"/>
        </w:rPr>
        <w:t>开平市市场监督管理局</w:t>
      </w:r>
      <w:r>
        <w:rPr>
          <w:rFonts w:hint="eastAsia" w:ascii="宋体" w:hAnsi="宋体" w:cs="宋体"/>
          <w:color w:val="auto"/>
          <w:sz w:val="24"/>
          <w:highlight w:val="none"/>
        </w:rPr>
        <w:t>抽检监测计划规定的抽查产品类别、抽查批次和抽查时间安排等开展抽检有关工作。同时严格按照《</w:t>
      </w:r>
      <w:r>
        <w:rPr>
          <w:rFonts w:hint="eastAsia" w:ascii="宋体" w:hAnsi="宋体" w:cs="宋体"/>
          <w:color w:val="auto"/>
          <w:sz w:val="24"/>
          <w:highlight w:val="none"/>
          <w:lang w:eastAsia="zh-CN"/>
        </w:rPr>
        <w:t>中华人民共和国食品安全法</w:t>
      </w:r>
      <w:r>
        <w:rPr>
          <w:rFonts w:hint="eastAsia" w:ascii="宋体" w:hAnsi="宋体" w:cs="宋体"/>
          <w:color w:val="auto"/>
          <w:sz w:val="24"/>
          <w:highlight w:val="none"/>
        </w:rPr>
        <w:t>》的规定购买抽取的样品，不得向企业和个人收取检验费和其他任何费用，购买样品费用由检验机构承担。</w:t>
      </w:r>
    </w:p>
    <w:p>
      <w:pPr>
        <w:numPr>
          <w:ilvl w:val="0"/>
          <w:numId w:val="16"/>
        </w:numPr>
        <w:spacing w:line="360" w:lineRule="auto"/>
        <w:rPr>
          <w:rFonts w:ascii="宋体" w:hAnsi="宋体" w:cs="宋体"/>
          <w:color w:val="auto"/>
          <w:sz w:val="24"/>
          <w:highlight w:val="none"/>
        </w:rPr>
      </w:pPr>
      <w:r>
        <w:rPr>
          <w:rFonts w:hint="eastAsia" w:ascii="宋体" w:hAnsi="宋体" w:cs="宋体"/>
          <w:color w:val="auto"/>
          <w:sz w:val="24"/>
          <w:highlight w:val="none"/>
        </w:rPr>
        <w:t>采样必须保证覆盖率，食品生产企业做到全覆盖，食品经营企业要按开平市市场监督管理局提供的企业名单按比例均衡采样。</w:t>
      </w:r>
    </w:p>
    <w:p>
      <w:pPr>
        <w:pStyle w:val="5"/>
        <w:numPr>
          <w:ilvl w:val="0"/>
          <w:numId w:val="16"/>
        </w:numPr>
        <w:spacing w:line="360" w:lineRule="auto"/>
        <w:rPr>
          <w:rFonts w:ascii="宋体" w:hAnsi="宋体" w:cs="宋体"/>
          <w:color w:val="auto"/>
          <w:sz w:val="24"/>
          <w:highlight w:val="none"/>
        </w:rPr>
      </w:pPr>
      <w:r>
        <w:rPr>
          <w:rFonts w:hint="eastAsia" w:ascii="宋体" w:hAnsi="宋体" w:cs="宋体"/>
          <w:color w:val="auto"/>
          <w:sz w:val="24"/>
          <w:highlight w:val="none"/>
        </w:rPr>
        <w:t>样品的采样、送检、留样必须严格按国家有关规定执行。</w:t>
      </w:r>
    </w:p>
    <w:p>
      <w:pPr>
        <w:numPr>
          <w:ilvl w:val="0"/>
          <w:numId w:val="12"/>
        </w:numPr>
        <w:snapToGrid w:val="0"/>
        <w:spacing w:line="360" w:lineRule="auto"/>
        <w:ind w:left="709" w:hanging="709"/>
        <w:rPr>
          <w:rFonts w:ascii="宋体" w:hAnsi="宋体" w:cs="宋体"/>
          <w:b/>
          <w:color w:val="auto"/>
          <w:sz w:val="24"/>
          <w:highlight w:val="none"/>
        </w:rPr>
      </w:pPr>
      <w:r>
        <w:rPr>
          <w:rFonts w:hint="eastAsia" w:ascii="宋体" w:hAnsi="宋体" w:cs="宋体"/>
          <w:b/>
          <w:color w:val="auto"/>
          <w:sz w:val="24"/>
          <w:highlight w:val="none"/>
        </w:rPr>
        <w:t>抽检品种及项目</w:t>
      </w:r>
      <w:r>
        <w:rPr>
          <w:rFonts w:hint="eastAsia" w:asciiTheme="minorEastAsia" w:hAnsiTheme="minorEastAsia"/>
          <w:b/>
          <w:color w:val="auto"/>
          <w:sz w:val="24"/>
          <w:highlight w:val="none"/>
        </w:rPr>
        <w:t>（适用于包组一）</w:t>
      </w:r>
    </w:p>
    <w:p>
      <w:pPr>
        <w:snapToGrid w:val="0"/>
        <w:spacing w:line="360" w:lineRule="auto"/>
        <w:ind w:firstLine="799" w:firstLineChars="333"/>
        <w:rPr>
          <w:rFonts w:ascii="宋体" w:hAnsi="宋体" w:cs="宋体"/>
          <w:b/>
          <w:color w:val="auto"/>
          <w:sz w:val="24"/>
          <w:highlight w:val="none"/>
        </w:rPr>
      </w:pPr>
      <w:r>
        <w:rPr>
          <w:rFonts w:hint="eastAsia" w:ascii="宋体" w:hAnsi="宋体" w:cs="宋体"/>
          <w:color w:val="auto"/>
          <w:sz w:val="24"/>
          <w:highlight w:val="none"/>
        </w:rPr>
        <w:t>见附件3《开平市市场监管局日常食品（食用农产品）监督抽检招标项目最高限价表》</w:t>
      </w:r>
    </w:p>
    <w:p>
      <w:pPr>
        <w:numPr>
          <w:ilvl w:val="0"/>
          <w:numId w:val="12"/>
        </w:numPr>
        <w:snapToGrid w:val="0"/>
        <w:spacing w:line="360" w:lineRule="auto"/>
        <w:ind w:left="709" w:hanging="709"/>
        <w:rPr>
          <w:rFonts w:ascii="宋体" w:hAnsi="宋体" w:cs="宋体"/>
          <w:b/>
          <w:color w:val="auto"/>
          <w:sz w:val="24"/>
          <w:highlight w:val="none"/>
        </w:rPr>
      </w:pPr>
      <w:r>
        <w:rPr>
          <w:rFonts w:hint="eastAsia" w:ascii="宋体" w:hAnsi="宋体" w:cs="宋体"/>
          <w:b/>
          <w:color w:val="auto"/>
          <w:sz w:val="24"/>
          <w:highlight w:val="none"/>
        </w:rPr>
        <w:t>抽检品种及项目</w:t>
      </w:r>
      <w:r>
        <w:rPr>
          <w:rFonts w:hint="eastAsia" w:asciiTheme="minorEastAsia" w:hAnsiTheme="minorEastAsia"/>
          <w:b/>
          <w:color w:val="auto"/>
          <w:sz w:val="24"/>
          <w:highlight w:val="none"/>
        </w:rPr>
        <w:t>（适用于包组二、三、四）</w:t>
      </w:r>
    </w:p>
    <w:p>
      <w:pPr>
        <w:pStyle w:val="24"/>
        <w:spacing w:line="360" w:lineRule="auto"/>
        <w:ind w:firstLine="840" w:firstLineChars="350"/>
        <w:rPr>
          <w:rFonts w:ascii="宋体" w:hAnsi="宋体" w:cs="宋体"/>
          <w:color w:val="auto"/>
          <w:sz w:val="24"/>
          <w:highlight w:val="none"/>
        </w:rPr>
      </w:pPr>
      <w:r>
        <w:rPr>
          <w:rFonts w:hint="eastAsia" w:ascii="宋体" w:hAnsi="宋体" w:cs="宋体"/>
          <w:color w:val="auto"/>
          <w:sz w:val="24"/>
          <w:highlight w:val="none"/>
        </w:rPr>
        <w:t>见附件4《开平市市场监管局日常食品（除食用农产品）监督抽检招标项目最高限价表》</w:t>
      </w:r>
    </w:p>
    <w:p>
      <w:pPr>
        <w:numPr>
          <w:ilvl w:val="0"/>
          <w:numId w:val="12"/>
        </w:numPr>
        <w:snapToGrid w:val="0"/>
        <w:spacing w:line="360" w:lineRule="auto"/>
        <w:ind w:left="709" w:hanging="709"/>
        <w:rPr>
          <w:rFonts w:ascii="宋体" w:hAnsi="宋体" w:cs="宋体"/>
          <w:b/>
          <w:color w:val="auto"/>
          <w:sz w:val="24"/>
          <w:highlight w:val="none"/>
        </w:rPr>
      </w:pPr>
      <w:r>
        <w:rPr>
          <w:rFonts w:hint="eastAsia" w:ascii="宋体" w:hAnsi="宋体" w:cs="宋体"/>
          <w:b/>
          <w:color w:val="auto"/>
          <w:sz w:val="24"/>
          <w:highlight w:val="none"/>
        </w:rPr>
        <w:t>抽检项目覆盖率要求</w:t>
      </w:r>
      <w:r>
        <w:rPr>
          <w:rFonts w:hint="eastAsia" w:asciiTheme="minorEastAsia" w:hAnsiTheme="minorEastAsia"/>
          <w:b/>
          <w:color w:val="auto"/>
          <w:sz w:val="24"/>
          <w:highlight w:val="none"/>
        </w:rPr>
        <w:t>（适用于包组一）</w:t>
      </w:r>
    </w:p>
    <w:p>
      <w:pPr>
        <w:pStyle w:val="24"/>
        <w:spacing w:line="360" w:lineRule="auto"/>
        <w:ind w:left="18" w:leftChars="9" w:firstLine="578" w:firstLineChars="241"/>
        <w:rPr>
          <w:rFonts w:ascii="宋体" w:hAnsi="宋体" w:cs="宋体"/>
          <w:b/>
          <w:color w:val="auto"/>
          <w:sz w:val="24"/>
          <w:highlight w:val="none"/>
        </w:rPr>
      </w:pPr>
      <w:r>
        <w:rPr>
          <w:rFonts w:hint="eastAsia" w:ascii="宋体" w:hAnsi="宋体" w:cs="宋体"/>
          <w:color w:val="auto"/>
          <w:sz w:val="24"/>
          <w:highlight w:val="none"/>
        </w:rPr>
        <w:t>每次任务的检验项目由采购人确定，中标人需具备该项目检验项目的</w:t>
      </w:r>
      <w:r>
        <w:rPr>
          <w:rFonts w:hint="eastAsia" w:ascii="宋体" w:hAnsi="宋体" w:cs="宋体"/>
          <w:color w:val="auto"/>
          <w:sz w:val="24"/>
          <w:highlight w:val="none"/>
          <w:lang w:val="en-US" w:eastAsia="zh-CN"/>
        </w:rPr>
        <w:t>CATL和</w:t>
      </w:r>
      <w:r>
        <w:rPr>
          <w:rFonts w:hint="eastAsia" w:ascii="宋体" w:hAnsi="宋体" w:cs="宋体"/>
          <w:color w:val="auto"/>
          <w:sz w:val="24"/>
          <w:highlight w:val="none"/>
        </w:rPr>
        <w:t>CMA</w:t>
      </w:r>
      <w:r>
        <w:rPr>
          <w:rFonts w:hint="eastAsia" w:ascii="宋体" w:hAnsi="宋体" w:cs="宋体"/>
          <w:color w:val="auto"/>
          <w:sz w:val="24"/>
          <w:highlight w:val="none"/>
          <w:lang w:eastAsia="zh-CN"/>
        </w:rPr>
        <w:t>（</w:t>
      </w:r>
      <w:r>
        <w:rPr>
          <w:rFonts w:hint="eastAsia" w:ascii="宋体" w:hAnsi="宋体" w:cs="宋体"/>
          <w:color w:val="auto"/>
          <w:sz w:val="24"/>
          <w:highlight w:val="none"/>
        </w:rPr>
        <w:t>或CMAF</w:t>
      </w:r>
      <w:r>
        <w:rPr>
          <w:rFonts w:hint="eastAsia" w:ascii="宋体" w:hAnsi="宋体" w:cs="宋体"/>
          <w:color w:val="auto"/>
          <w:sz w:val="24"/>
          <w:highlight w:val="none"/>
          <w:lang w:eastAsia="zh-CN"/>
        </w:rPr>
        <w:t>）</w:t>
      </w:r>
      <w:r>
        <w:rPr>
          <w:rFonts w:hint="eastAsia" w:ascii="宋体" w:hAnsi="宋体" w:cs="宋体"/>
          <w:color w:val="auto"/>
          <w:sz w:val="24"/>
          <w:highlight w:val="none"/>
        </w:rPr>
        <w:t>资质。根据附件1</w:t>
      </w:r>
      <w:r>
        <w:rPr>
          <w:rFonts w:hint="eastAsia" w:asciiTheme="minorEastAsia" w:hAnsiTheme="minorEastAsia" w:eastAsiaTheme="minorEastAsia"/>
          <w:color w:val="auto"/>
          <w:sz w:val="24"/>
          <w:highlight w:val="none"/>
        </w:rPr>
        <w:t>《开平市市场监管局食用农产品检验项目响应表》的内容，</w:t>
      </w:r>
      <w:r>
        <w:rPr>
          <w:rFonts w:hint="eastAsia" w:ascii="宋体" w:hAnsi="宋体" w:cs="宋体"/>
          <w:color w:val="auto"/>
          <w:sz w:val="24"/>
          <w:highlight w:val="none"/>
        </w:rPr>
        <w:t>能承检的检测项目覆盖率为90%以上。</w:t>
      </w:r>
    </w:p>
    <w:p>
      <w:pPr>
        <w:numPr>
          <w:ilvl w:val="0"/>
          <w:numId w:val="12"/>
        </w:numPr>
        <w:snapToGrid w:val="0"/>
        <w:spacing w:line="360" w:lineRule="auto"/>
        <w:ind w:left="709" w:hanging="709"/>
        <w:rPr>
          <w:rFonts w:ascii="宋体" w:hAnsi="宋体" w:cs="宋体"/>
          <w:b/>
          <w:color w:val="auto"/>
          <w:sz w:val="24"/>
          <w:highlight w:val="none"/>
        </w:rPr>
      </w:pPr>
      <w:r>
        <w:rPr>
          <w:rFonts w:hint="eastAsia" w:ascii="宋体" w:hAnsi="宋体" w:cs="宋体"/>
          <w:b/>
          <w:color w:val="auto"/>
          <w:sz w:val="24"/>
          <w:highlight w:val="none"/>
        </w:rPr>
        <w:t>抽检项目覆盖率要求</w:t>
      </w:r>
      <w:r>
        <w:rPr>
          <w:rFonts w:hint="eastAsia" w:asciiTheme="minorEastAsia" w:hAnsiTheme="minorEastAsia"/>
          <w:b/>
          <w:color w:val="auto"/>
          <w:sz w:val="24"/>
          <w:highlight w:val="none"/>
        </w:rPr>
        <w:t>（适用于包组二、三、四）</w:t>
      </w:r>
    </w:p>
    <w:p>
      <w:pPr>
        <w:snapToGrid w:val="0"/>
        <w:spacing w:line="360" w:lineRule="auto"/>
        <w:ind w:firstLine="600" w:firstLineChars="250"/>
        <w:rPr>
          <w:rFonts w:ascii="宋体" w:hAnsi="宋体" w:cs="宋体"/>
          <w:bCs/>
          <w:color w:val="auto"/>
          <w:sz w:val="24"/>
          <w:highlight w:val="none"/>
        </w:rPr>
      </w:pPr>
      <w:r>
        <w:rPr>
          <w:rFonts w:hint="eastAsia" w:ascii="宋体" w:hAnsi="宋体" w:cs="宋体"/>
          <w:bCs/>
          <w:color w:val="auto"/>
          <w:sz w:val="24"/>
          <w:highlight w:val="none"/>
        </w:rPr>
        <w:t>每次任务的检验项目由采购人确定，中标人需具备该项目检验项目的CMA或CMAF资质（资质认定计量认证证书）。根据附件2《开平市市场监管局除食用农产品外的其他食品类别检验项目响应表》的内容，能承检的检测项目覆盖率为90%以上。</w:t>
      </w:r>
    </w:p>
    <w:p>
      <w:pPr>
        <w:numPr>
          <w:ilvl w:val="0"/>
          <w:numId w:val="12"/>
        </w:numPr>
        <w:snapToGrid w:val="0"/>
        <w:spacing w:line="360" w:lineRule="auto"/>
        <w:ind w:left="709" w:hanging="709"/>
        <w:rPr>
          <w:rFonts w:cs="Courier New" w:asciiTheme="minorEastAsia" w:hAnsiTheme="minorEastAsia"/>
          <w:b/>
          <w:bCs/>
          <w:color w:val="auto"/>
          <w:sz w:val="24"/>
          <w:highlight w:val="none"/>
        </w:rPr>
      </w:pPr>
      <w:r>
        <w:rPr>
          <w:rFonts w:hint="eastAsia" w:cs="Courier New" w:asciiTheme="minorEastAsia" w:hAnsiTheme="minorEastAsia"/>
          <w:b/>
          <w:bCs/>
          <w:color w:val="auto"/>
          <w:sz w:val="24"/>
          <w:highlight w:val="none"/>
        </w:rPr>
        <w:t>技术服务</w:t>
      </w:r>
      <w:r>
        <w:rPr>
          <w:rFonts w:hint="eastAsia" w:asciiTheme="minorEastAsia" w:hAnsiTheme="minorEastAsia"/>
          <w:b/>
          <w:bCs/>
          <w:color w:val="auto"/>
          <w:sz w:val="24"/>
          <w:highlight w:val="none"/>
        </w:rPr>
        <w:t>（适用于各包组）</w:t>
      </w:r>
    </w:p>
    <w:p>
      <w:pPr>
        <w:numPr>
          <w:ilvl w:val="255"/>
          <w:numId w:val="0"/>
        </w:numPr>
        <w:tabs>
          <w:tab w:val="left" w:pos="425"/>
        </w:tabs>
        <w:snapToGrid w:val="0"/>
        <w:spacing w:line="360" w:lineRule="auto"/>
        <w:ind w:left="420"/>
        <w:rPr>
          <w:rFonts w:cs="Courier New" w:asciiTheme="minorEastAsia" w:hAnsiTheme="minorEastAsia"/>
          <w:color w:val="auto"/>
          <w:sz w:val="24"/>
          <w:highlight w:val="none"/>
        </w:rPr>
      </w:pPr>
      <w:r>
        <w:rPr>
          <w:rFonts w:hint="eastAsia" w:cs="Courier New" w:asciiTheme="minorEastAsia" w:hAnsiTheme="minorEastAsia"/>
          <w:color w:val="auto"/>
          <w:sz w:val="24"/>
          <w:highlight w:val="none"/>
        </w:rPr>
        <w:t>中标人根据采购人的工作需求，提供以下技术服务：</w:t>
      </w:r>
    </w:p>
    <w:p>
      <w:pPr>
        <w:numPr>
          <w:ilvl w:val="0"/>
          <w:numId w:val="17"/>
        </w:numPr>
        <w:tabs>
          <w:tab w:val="left" w:pos="425"/>
        </w:tabs>
        <w:snapToGrid w:val="0"/>
        <w:spacing w:line="360" w:lineRule="auto"/>
        <w:ind w:left="420"/>
        <w:rPr>
          <w:rFonts w:cs="Courier New" w:asciiTheme="minorEastAsia" w:hAnsiTheme="minorEastAsia"/>
          <w:color w:val="auto"/>
          <w:sz w:val="24"/>
          <w:highlight w:val="none"/>
        </w:rPr>
      </w:pPr>
      <w:r>
        <w:rPr>
          <w:rFonts w:hint="eastAsia" w:cs="Courier New" w:asciiTheme="minorEastAsia" w:hAnsiTheme="minorEastAsia"/>
          <w:color w:val="auto"/>
          <w:sz w:val="24"/>
          <w:highlight w:val="none"/>
        </w:rPr>
        <w:t>食品安全宣传活动中的咨询、检测、宣讲等服务。</w:t>
      </w:r>
    </w:p>
    <w:p>
      <w:pPr>
        <w:numPr>
          <w:ilvl w:val="0"/>
          <w:numId w:val="17"/>
        </w:numPr>
        <w:tabs>
          <w:tab w:val="left" w:pos="425"/>
        </w:tabs>
        <w:snapToGrid w:val="0"/>
        <w:spacing w:line="360" w:lineRule="auto"/>
        <w:ind w:left="420"/>
        <w:rPr>
          <w:rFonts w:cs="Courier New" w:asciiTheme="minorEastAsia" w:hAnsiTheme="minorEastAsia"/>
          <w:color w:val="auto"/>
          <w:sz w:val="24"/>
          <w:highlight w:val="none"/>
        </w:rPr>
      </w:pPr>
      <w:r>
        <w:rPr>
          <w:rFonts w:hint="eastAsia" w:cs="Courier New" w:asciiTheme="minorEastAsia" w:hAnsiTheme="minorEastAsia"/>
          <w:color w:val="auto"/>
          <w:sz w:val="24"/>
          <w:highlight w:val="none"/>
        </w:rPr>
        <w:t>新闻发布、舆情应对、应急处置等相关工作中的技术支持。</w:t>
      </w:r>
    </w:p>
    <w:p>
      <w:pPr>
        <w:numPr>
          <w:ilvl w:val="0"/>
          <w:numId w:val="17"/>
        </w:numPr>
        <w:tabs>
          <w:tab w:val="left" w:pos="425"/>
        </w:tabs>
        <w:snapToGrid w:val="0"/>
        <w:spacing w:line="360" w:lineRule="auto"/>
        <w:ind w:left="420"/>
        <w:rPr>
          <w:rFonts w:cs="Courier New" w:asciiTheme="minorEastAsia" w:hAnsiTheme="minorEastAsia"/>
          <w:color w:val="auto"/>
          <w:sz w:val="24"/>
          <w:highlight w:val="none"/>
        </w:rPr>
      </w:pPr>
      <w:r>
        <w:rPr>
          <w:rFonts w:hint="eastAsia" w:cs="Courier New" w:asciiTheme="minorEastAsia" w:hAnsiTheme="minorEastAsia"/>
          <w:color w:val="auto"/>
          <w:sz w:val="24"/>
          <w:highlight w:val="none"/>
        </w:rPr>
        <w:t>安排专家接受咨询、参加研讨、提出建议等。</w:t>
      </w:r>
    </w:p>
    <w:p>
      <w:pPr>
        <w:numPr>
          <w:ilvl w:val="0"/>
          <w:numId w:val="17"/>
        </w:numPr>
        <w:tabs>
          <w:tab w:val="left" w:pos="425"/>
        </w:tabs>
        <w:snapToGrid w:val="0"/>
        <w:spacing w:line="360" w:lineRule="auto"/>
        <w:ind w:left="420"/>
        <w:rPr>
          <w:rFonts w:cs="Courier New" w:asciiTheme="minorEastAsia" w:hAnsiTheme="minorEastAsia"/>
          <w:color w:val="auto"/>
          <w:sz w:val="24"/>
          <w:highlight w:val="none"/>
        </w:rPr>
      </w:pPr>
      <w:r>
        <w:rPr>
          <w:rFonts w:hint="eastAsia" w:cs="Courier New" w:asciiTheme="minorEastAsia" w:hAnsiTheme="minorEastAsia"/>
          <w:color w:val="auto"/>
          <w:sz w:val="24"/>
          <w:highlight w:val="none"/>
        </w:rPr>
        <w:t>其他根据工作提出的技术服务。</w:t>
      </w:r>
    </w:p>
    <w:p>
      <w:pPr>
        <w:numPr>
          <w:ilvl w:val="0"/>
          <w:numId w:val="12"/>
        </w:numPr>
        <w:snapToGrid w:val="0"/>
        <w:spacing w:line="360" w:lineRule="auto"/>
        <w:ind w:left="709" w:hanging="709"/>
        <w:rPr>
          <w:rFonts w:cs="Courier New" w:asciiTheme="minorEastAsia" w:hAnsiTheme="minorEastAsia"/>
          <w:b/>
          <w:bCs/>
          <w:color w:val="auto"/>
          <w:sz w:val="24"/>
          <w:highlight w:val="none"/>
        </w:rPr>
      </w:pPr>
      <w:r>
        <w:rPr>
          <w:rFonts w:hint="eastAsia" w:cs="宋体" w:asciiTheme="minorEastAsia" w:hAnsiTheme="minorEastAsia"/>
          <w:b/>
          <w:bCs/>
          <w:color w:val="auto"/>
          <w:sz w:val="24"/>
          <w:highlight w:val="none"/>
        </w:rPr>
        <w:t>其他服务要求（适用于各包组）</w:t>
      </w:r>
    </w:p>
    <w:p>
      <w:pPr>
        <w:numPr>
          <w:ilvl w:val="0"/>
          <w:numId w:val="18"/>
        </w:numPr>
        <w:tabs>
          <w:tab w:val="left" w:pos="425"/>
        </w:tabs>
        <w:snapToGrid w:val="0"/>
        <w:spacing w:line="360" w:lineRule="auto"/>
        <w:ind w:left="420"/>
        <w:rPr>
          <w:rFonts w:cs="Courier New" w:asciiTheme="minorEastAsia" w:hAnsiTheme="minorEastAsia"/>
          <w:color w:val="auto"/>
          <w:sz w:val="24"/>
          <w:highlight w:val="none"/>
        </w:rPr>
      </w:pPr>
      <w:r>
        <w:rPr>
          <w:rFonts w:hint="eastAsia" w:ascii="宋体" w:hAnsi="宋体" w:cs="宋体"/>
          <w:color w:val="auto"/>
          <w:sz w:val="24"/>
          <w:highlight w:val="none"/>
        </w:rPr>
        <w:t>中</w:t>
      </w:r>
      <w:r>
        <w:rPr>
          <w:rFonts w:hint="eastAsia" w:cs="Courier New" w:asciiTheme="minorEastAsia" w:hAnsiTheme="minorEastAsia"/>
          <w:color w:val="auto"/>
          <w:sz w:val="24"/>
          <w:highlight w:val="none"/>
        </w:rPr>
        <w:t>标人不得将检验任务外包或分包给其他检验机构检验，一经发现，可取消承检资格并承担相应的法律责任。</w:t>
      </w:r>
    </w:p>
    <w:p>
      <w:pPr>
        <w:numPr>
          <w:ilvl w:val="0"/>
          <w:numId w:val="18"/>
        </w:numPr>
        <w:tabs>
          <w:tab w:val="left" w:pos="425"/>
        </w:tabs>
        <w:snapToGrid w:val="0"/>
        <w:spacing w:line="360" w:lineRule="auto"/>
        <w:ind w:left="420"/>
        <w:rPr>
          <w:rFonts w:cs="Courier New" w:asciiTheme="minorEastAsia" w:hAnsiTheme="minorEastAsia"/>
          <w:color w:val="auto"/>
          <w:sz w:val="24"/>
          <w:highlight w:val="none"/>
        </w:rPr>
      </w:pPr>
      <w:r>
        <w:rPr>
          <w:rFonts w:hint="eastAsia" w:cs="Courier New" w:asciiTheme="minorEastAsia" w:hAnsiTheme="minorEastAsia"/>
          <w:color w:val="auto"/>
          <w:sz w:val="24"/>
          <w:highlight w:val="none"/>
        </w:rPr>
        <w:t>所有项目各单项检验费用按粤价[2002]170号文相应单项检验费用作为该项目的单项检验费用的报价基础，如粤价[2002]170号文没有相应的项目的，参照采购人市场调查结果,以此基础上作投标下浮率报价（报价包含检验费、购样费、抽样机、分析报告等所有费用）。</w:t>
      </w:r>
    </w:p>
    <w:p>
      <w:pPr>
        <w:numPr>
          <w:ilvl w:val="0"/>
          <w:numId w:val="18"/>
        </w:numPr>
        <w:tabs>
          <w:tab w:val="left" w:pos="425"/>
        </w:tabs>
        <w:snapToGrid w:val="0"/>
        <w:spacing w:line="360" w:lineRule="auto"/>
        <w:ind w:left="420"/>
        <w:rPr>
          <w:rFonts w:cs="Courier New" w:asciiTheme="minorEastAsia" w:hAnsiTheme="minorEastAsia"/>
          <w:color w:val="auto"/>
          <w:sz w:val="24"/>
          <w:highlight w:val="none"/>
        </w:rPr>
      </w:pPr>
      <w:r>
        <w:rPr>
          <w:rFonts w:hint="eastAsia" w:cs="Courier New" w:asciiTheme="minorEastAsia" w:hAnsiTheme="minorEastAsia"/>
          <w:color w:val="auto"/>
          <w:sz w:val="24"/>
          <w:highlight w:val="none"/>
        </w:rPr>
        <w:t>中标人应当建立本次采购项目的台账，建立健全财务报告制度，按要求向采购人提供项目实施资金的使用情况、项目执行情况、成果总结等相关的材料。</w:t>
      </w:r>
    </w:p>
    <w:p>
      <w:pPr>
        <w:numPr>
          <w:ilvl w:val="0"/>
          <w:numId w:val="18"/>
        </w:numPr>
        <w:tabs>
          <w:tab w:val="left" w:pos="425"/>
        </w:tabs>
        <w:snapToGrid w:val="0"/>
        <w:spacing w:line="360" w:lineRule="auto"/>
        <w:ind w:left="420"/>
        <w:rPr>
          <w:rFonts w:cs="Courier New" w:asciiTheme="minorEastAsia" w:hAnsiTheme="minorEastAsia"/>
          <w:color w:val="auto"/>
          <w:sz w:val="24"/>
          <w:highlight w:val="none"/>
        </w:rPr>
      </w:pPr>
      <w:r>
        <w:rPr>
          <w:rFonts w:hint="eastAsia" w:cs="Courier New" w:asciiTheme="minorEastAsia" w:hAnsiTheme="minorEastAsia"/>
          <w:color w:val="auto"/>
          <w:sz w:val="24"/>
          <w:highlight w:val="none"/>
        </w:rPr>
        <w:t>中标人应当严格遵守相关财务规定，规范管理和使用本次政府购买服务项目资金。</w:t>
      </w:r>
    </w:p>
    <w:p>
      <w:pPr>
        <w:numPr>
          <w:ilvl w:val="0"/>
          <w:numId w:val="18"/>
        </w:numPr>
        <w:tabs>
          <w:tab w:val="left" w:pos="425"/>
        </w:tabs>
        <w:snapToGrid w:val="0"/>
        <w:spacing w:line="360" w:lineRule="auto"/>
        <w:ind w:left="420"/>
        <w:rPr>
          <w:rFonts w:ascii="宋体" w:hAnsi="宋体"/>
          <w:color w:val="auto"/>
          <w:sz w:val="24"/>
          <w:highlight w:val="none"/>
        </w:rPr>
      </w:pPr>
      <w:r>
        <w:rPr>
          <w:rFonts w:hint="eastAsia" w:cs="Courier New" w:asciiTheme="minorEastAsia" w:hAnsiTheme="minorEastAsia"/>
          <w:color w:val="auto"/>
          <w:sz w:val="24"/>
          <w:highlight w:val="none"/>
        </w:rPr>
        <w:t>中标人应当积极</w:t>
      </w:r>
      <w:r>
        <w:rPr>
          <w:rFonts w:hint="eastAsia" w:ascii="宋体" w:hAnsi="宋体"/>
          <w:color w:val="auto"/>
          <w:sz w:val="24"/>
          <w:highlight w:val="none"/>
        </w:rPr>
        <w:t>配合相关部门对资金使用情况进行监督检查与绩效评价。</w:t>
      </w:r>
    </w:p>
    <w:p>
      <w:pPr>
        <w:pStyle w:val="8"/>
        <w:numPr>
          <w:ilvl w:val="0"/>
          <w:numId w:val="10"/>
        </w:numPr>
        <w:tabs>
          <w:tab w:val="left" w:pos="540"/>
        </w:tabs>
        <w:snapToGrid w:val="0"/>
        <w:spacing w:line="360" w:lineRule="auto"/>
        <w:rPr>
          <w:rFonts w:cs="宋体" w:asciiTheme="minorEastAsia" w:hAnsiTheme="minorEastAsia"/>
          <w:b/>
          <w:color w:val="auto"/>
          <w:sz w:val="24"/>
          <w:highlight w:val="none"/>
          <w:lang w:eastAsia="zh-TW"/>
        </w:rPr>
      </w:pPr>
      <w:r>
        <w:rPr>
          <w:rFonts w:hint="eastAsia" w:cs="宋体" w:asciiTheme="minorEastAsia" w:hAnsiTheme="minorEastAsia"/>
          <w:b/>
          <w:color w:val="auto"/>
          <w:sz w:val="24"/>
          <w:szCs w:val="24"/>
          <w:highlight w:val="none"/>
        </w:rPr>
        <w:t>采购项目交付或者实施的时间和地点</w:t>
      </w:r>
      <w:r>
        <w:rPr>
          <w:rFonts w:hint="eastAsia" w:asciiTheme="minorEastAsia" w:hAnsiTheme="minorEastAsia"/>
          <w:b/>
          <w:color w:val="auto"/>
          <w:sz w:val="24"/>
          <w:szCs w:val="24"/>
          <w:highlight w:val="none"/>
        </w:rPr>
        <w:t>（适用于各包组）</w:t>
      </w:r>
    </w:p>
    <w:p>
      <w:pPr>
        <w:numPr>
          <w:ilvl w:val="0"/>
          <w:numId w:val="19"/>
        </w:numPr>
        <w:tabs>
          <w:tab w:val="left" w:pos="400"/>
          <w:tab w:val="clear" w:pos="425"/>
        </w:tabs>
        <w:snapToGrid w:val="0"/>
        <w:spacing w:line="360" w:lineRule="auto"/>
        <w:rPr>
          <w:rFonts w:cs="宋体" w:asciiTheme="minorEastAsia" w:hAnsiTheme="minorEastAsia"/>
          <w:color w:val="auto"/>
          <w:sz w:val="24"/>
          <w:highlight w:val="none"/>
          <w:lang w:eastAsia="zh-TW"/>
        </w:rPr>
      </w:pPr>
      <w:r>
        <w:rPr>
          <w:rFonts w:hint="eastAsia" w:cs="宋体" w:asciiTheme="minorEastAsia" w:hAnsiTheme="minorEastAsia"/>
          <w:color w:val="auto"/>
          <w:sz w:val="24"/>
          <w:highlight w:val="none"/>
        </w:rPr>
        <w:t>实施的时间：</w:t>
      </w:r>
      <w:r>
        <w:rPr>
          <w:rFonts w:hint="eastAsia" w:cs="宋体" w:asciiTheme="minorEastAsia" w:hAnsiTheme="minorEastAsia"/>
          <w:color w:val="auto"/>
          <w:sz w:val="24"/>
          <w:highlight w:val="none"/>
          <w:u w:val="single"/>
        </w:rPr>
        <w:t>自合同签订之日起两年内</w:t>
      </w:r>
    </w:p>
    <w:p>
      <w:pPr>
        <w:numPr>
          <w:ilvl w:val="0"/>
          <w:numId w:val="19"/>
        </w:numPr>
        <w:tabs>
          <w:tab w:val="left" w:pos="400"/>
          <w:tab w:val="clear" w:pos="425"/>
        </w:tabs>
        <w:snapToGrid w:val="0"/>
        <w:spacing w:line="360" w:lineRule="auto"/>
        <w:rPr>
          <w:rFonts w:cs="宋体" w:asciiTheme="minorEastAsia" w:hAnsiTheme="minorEastAsia"/>
          <w:color w:val="auto"/>
          <w:sz w:val="24"/>
          <w:highlight w:val="none"/>
          <w:lang w:eastAsia="zh-TW"/>
        </w:rPr>
      </w:pPr>
      <w:r>
        <w:rPr>
          <w:rFonts w:hint="eastAsia" w:cs="宋体" w:asciiTheme="minorEastAsia" w:hAnsiTheme="minorEastAsia"/>
          <w:color w:val="auto"/>
          <w:sz w:val="24"/>
          <w:highlight w:val="none"/>
        </w:rPr>
        <w:t>实施的地点：</w:t>
      </w:r>
      <w:r>
        <w:rPr>
          <w:rFonts w:hint="eastAsia" w:cs="宋体" w:asciiTheme="minorEastAsia" w:hAnsiTheme="minorEastAsia"/>
          <w:color w:val="auto"/>
          <w:sz w:val="24"/>
          <w:highlight w:val="none"/>
          <w:u w:val="single"/>
        </w:rPr>
        <w:t>广东省开平市</w:t>
      </w:r>
    </w:p>
    <w:p>
      <w:pPr>
        <w:pStyle w:val="8"/>
        <w:numPr>
          <w:ilvl w:val="0"/>
          <w:numId w:val="10"/>
        </w:numPr>
        <w:tabs>
          <w:tab w:val="left" w:pos="540"/>
        </w:tabs>
        <w:snapToGrid w:val="0"/>
        <w:spacing w:line="360" w:lineRule="auto"/>
        <w:rPr>
          <w:rFonts w:cs="宋体" w:asciiTheme="minorEastAsia" w:hAnsiTheme="minorEastAsia"/>
          <w:b/>
          <w:color w:val="auto"/>
          <w:sz w:val="24"/>
          <w:szCs w:val="24"/>
          <w:highlight w:val="none"/>
        </w:rPr>
      </w:pPr>
      <w:r>
        <w:rPr>
          <w:rFonts w:hint="eastAsia" w:cs="宋体" w:asciiTheme="minorEastAsia" w:hAnsiTheme="minorEastAsia"/>
          <w:b/>
          <w:color w:val="auto"/>
          <w:sz w:val="24"/>
          <w:szCs w:val="24"/>
          <w:highlight w:val="none"/>
        </w:rPr>
        <w:t>付款及结算方式</w:t>
      </w:r>
      <w:r>
        <w:rPr>
          <w:rFonts w:hint="eastAsia" w:asciiTheme="minorEastAsia" w:hAnsiTheme="minorEastAsia"/>
          <w:b/>
          <w:color w:val="auto"/>
          <w:sz w:val="24"/>
          <w:szCs w:val="24"/>
          <w:highlight w:val="none"/>
        </w:rPr>
        <w:t>（适用于各包组）</w:t>
      </w:r>
    </w:p>
    <w:p>
      <w:pPr>
        <w:numPr>
          <w:ilvl w:val="0"/>
          <w:numId w:val="20"/>
        </w:numPr>
        <w:tabs>
          <w:tab w:val="left" w:pos="567"/>
        </w:tabs>
        <w:autoSpaceDE w:val="0"/>
        <w:autoSpaceDN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合同款支付：</w:t>
      </w:r>
    </w:p>
    <w:p>
      <w:pPr>
        <w:widowControl/>
        <w:tabs>
          <w:tab w:val="left" w:pos="567"/>
        </w:tabs>
        <w:autoSpaceDE w:val="0"/>
        <w:autoSpaceDN w:val="0"/>
        <w:snapToGrid w:val="0"/>
        <w:spacing w:line="360" w:lineRule="auto"/>
        <w:ind w:left="420"/>
        <w:jc w:val="left"/>
        <w:rPr>
          <w:rFonts w:hAnsi="宋体" w:cs="宋体"/>
          <w:color w:val="auto"/>
          <w:sz w:val="24"/>
          <w:highlight w:val="none"/>
        </w:rPr>
      </w:pPr>
      <w:r>
        <w:rPr>
          <w:rFonts w:hint="eastAsia" w:ascii="宋体" w:hAnsi="宋体" w:cs="宋体"/>
          <w:color w:val="auto"/>
          <w:sz w:val="24"/>
          <w:highlight w:val="none"/>
        </w:rPr>
        <w:t>中标人</w:t>
      </w:r>
      <w:r>
        <w:rPr>
          <w:rFonts w:ascii="宋体" w:hAnsi="宋体" w:cs="宋体"/>
          <w:color w:val="auto"/>
          <w:sz w:val="24"/>
          <w:highlight w:val="none"/>
        </w:rPr>
        <w:t>按每次任务完成，</w:t>
      </w:r>
      <w:r>
        <w:rPr>
          <w:rFonts w:hint="eastAsia" w:ascii="宋体" w:hAnsi="宋体" w:cs="宋体"/>
          <w:color w:val="auto"/>
          <w:sz w:val="24"/>
          <w:highlight w:val="none"/>
        </w:rPr>
        <w:t>并</w:t>
      </w:r>
      <w:r>
        <w:rPr>
          <w:rFonts w:ascii="宋体" w:hAnsi="宋体" w:cs="宋体"/>
          <w:color w:val="auto"/>
          <w:sz w:val="24"/>
          <w:highlight w:val="none"/>
        </w:rPr>
        <w:t>出具</w:t>
      </w:r>
      <w:r>
        <w:rPr>
          <w:rFonts w:hint="eastAsia" w:ascii="宋体" w:hAnsi="宋体" w:cs="宋体"/>
          <w:color w:val="auto"/>
          <w:sz w:val="24"/>
          <w:highlight w:val="none"/>
        </w:rPr>
        <w:t>检测</w:t>
      </w:r>
      <w:r>
        <w:rPr>
          <w:rFonts w:ascii="宋体" w:hAnsi="宋体" w:cs="宋体"/>
          <w:color w:val="auto"/>
          <w:sz w:val="24"/>
          <w:highlight w:val="none"/>
        </w:rPr>
        <w:t>报告后，</w:t>
      </w:r>
      <w:r>
        <w:rPr>
          <w:rFonts w:hint="eastAsia" w:ascii="宋体" w:hAnsi="宋体" w:cs="宋体"/>
          <w:color w:val="auto"/>
          <w:sz w:val="24"/>
          <w:highlight w:val="none"/>
        </w:rPr>
        <w:t>采购人</w:t>
      </w:r>
      <w:r>
        <w:rPr>
          <w:rFonts w:hint="eastAsia" w:ascii="宋体" w:hAnsi="宋体" w:cs="宋体"/>
          <w:color w:val="auto"/>
          <w:sz w:val="24"/>
          <w:highlight w:val="none"/>
          <w:lang w:eastAsia="zh-CN"/>
        </w:rPr>
        <w:t>凭中标人的有效发票</w:t>
      </w:r>
      <w:r>
        <w:rPr>
          <w:rFonts w:hint="eastAsia" w:ascii="宋体" w:hAnsi="宋体" w:cs="宋体"/>
          <w:color w:val="auto"/>
          <w:sz w:val="24"/>
          <w:highlight w:val="none"/>
        </w:rPr>
        <w:t>于</w:t>
      </w:r>
      <w:r>
        <w:rPr>
          <w:rFonts w:ascii="宋体" w:hAnsi="宋体" w:cs="宋体"/>
          <w:color w:val="auto"/>
          <w:sz w:val="24"/>
          <w:highlight w:val="none"/>
        </w:rPr>
        <w:t>30日内</w:t>
      </w:r>
      <w:r>
        <w:rPr>
          <w:rFonts w:hint="eastAsia" w:ascii="宋体" w:hAnsi="宋体" w:cs="宋体"/>
          <w:color w:val="auto"/>
          <w:sz w:val="24"/>
          <w:highlight w:val="none"/>
          <w:lang w:eastAsia="zh-CN"/>
        </w:rPr>
        <w:t>支付发票等额费用</w:t>
      </w:r>
      <w:r>
        <w:rPr>
          <w:rFonts w:ascii="宋体" w:hAnsi="宋体" w:cs="宋体"/>
          <w:color w:val="auto"/>
          <w:sz w:val="24"/>
          <w:highlight w:val="none"/>
        </w:rPr>
        <w:t>。根据财政</w:t>
      </w:r>
      <w:r>
        <w:rPr>
          <w:rFonts w:hint="eastAsia" w:ascii="宋体" w:hAnsi="宋体" w:cs="宋体"/>
          <w:color w:val="auto"/>
          <w:sz w:val="24"/>
          <w:highlight w:val="none"/>
        </w:rPr>
        <w:t>拨款</w:t>
      </w:r>
      <w:r>
        <w:rPr>
          <w:rFonts w:ascii="宋体" w:hAnsi="宋体" w:cs="宋体"/>
          <w:color w:val="auto"/>
          <w:sz w:val="24"/>
          <w:highlight w:val="none"/>
        </w:rPr>
        <w:t>进行支</w:t>
      </w:r>
      <w:r>
        <w:rPr>
          <w:rFonts w:hint="eastAsia" w:ascii="宋体" w:hAnsi="宋体" w:cs="宋体"/>
          <w:color w:val="auto"/>
          <w:sz w:val="24"/>
          <w:highlight w:val="none"/>
        </w:rPr>
        <w:t>付</w:t>
      </w:r>
      <w:r>
        <w:rPr>
          <w:rFonts w:ascii="宋体" w:hAnsi="宋体" w:cs="宋体"/>
          <w:color w:val="auto"/>
          <w:sz w:val="24"/>
          <w:highlight w:val="none"/>
        </w:rPr>
        <w:t>，</w:t>
      </w:r>
      <w:r>
        <w:rPr>
          <w:rFonts w:hint="eastAsia" w:ascii="宋体" w:hAnsi="宋体" w:cs="宋体"/>
          <w:color w:val="auto"/>
          <w:sz w:val="24"/>
          <w:highlight w:val="none"/>
        </w:rPr>
        <w:t>直至资金</w:t>
      </w:r>
      <w:r>
        <w:rPr>
          <w:rFonts w:ascii="宋体" w:hAnsi="宋体" w:cs="宋体"/>
          <w:color w:val="auto"/>
          <w:sz w:val="24"/>
          <w:highlight w:val="none"/>
        </w:rPr>
        <w:t>使用完毕</w:t>
      </w:r>
      <w:r>
        <w:rPr>
          <w:rFonts w:hint="eastAsia" w:ascii="宋体" w:hAnsi="宋体" w:cs="宋体"/>
          <w:color w:val="auto"/>
          <w:sz w:val="24"/>
          <w:highlight w:val="none"/>
        </w:rPr>
        <w:t>，</w:t>
      </w:r>
      <w:r>
        <w:rPr>
          <w:rFonts w:ascii="宋体" w:hAnsi="宋体" w:cs="宋体"/>
          <w:color w:val="auto"/>
          <w:sz w:val="24"/>
          <w:highlight w:val="none"/>
        </w:rPr>
        <w:t>项目结束。</w:t>
      </w:r>
    </w:p>
    <w:p>
      <w:pPr>
        <w:widowControl/>
        <w:numPr>
          <w:ilvl w:val="0"/>
          <w:numId w:val="20"/>
        </w:numPr>
        <w:tabs>
          <w:tab w:val="left" w:pos="567"/>
        </w:tabs>
        <w:autoSpaceDE w:val="0"/>
        <w:autoSpaceDN w:val="0"/>
        <w:snapToGrid w:val="0"/>
        <w:spacing w:line="360" w:lineRule="auto"/>
        <w:jc w:val="left"/>
        <w:rPr>
          <w:rFonts w:hAnsi="宋体" w:cs="宋体"/>
          <w:color w:val="auto"/>
          <w:sz w:val="24"/>
          <w:highlight w:val="none"/>
        </w:rPr>
      </w:pPr>
      <w:r>
        <w:rPr>
          <w:rFonts w:hint="eastAsia" w:ascii="宋体" w:hAnsi="宋体" w:cs="宋体"/>
          <w:color w:val="auto"/>
          <w:sz w:val="24"/>
          <w:highlight w:val="none"/>
        </w:rPr>
        <w:t>付款</w:t>
      </w:r>
      <w:r>
        <w:rPr>
          <w:rFonts w:hint="eastAsia" w:hAnsi="宋体" w:cs="宋体"/>
          <w:color w:val="auto"/>
          <w:sz w:val="24"/>
          <w:highlight w:val="none"/>
        </w:rPr>
        <w:t>方式：采用支票、银行汇票、电汇三种形式。</w:t>
      </w:r>
      <w:bookmarkStart w:id="14" w:name="_Toc13067019"/>
      <w:bookmarkStart w:id="15" w:name="_Toc13067017"/>
      <w:bookmarkStart w:id="16" w:name="_Toc13067022"/>
    </w:p>
    <w:p>
      <w:pPr>
        <w:widowControl/>
        <w:numPr>
          <w:ilvl w:val="0"/>
          <w:numId w:val="20"/>
        </w:numPr>
        <w:tabs>
          <w:tab w:val="left" w:pos="567"/>
        </w:tabs>
        <w:autoSpaceDE w:val="0"/>
        <w:autoSpaceDN w:val="0"/>
        <w:snapToGrid w:val="0"/>
        <w:spacing w:line="360" w:lineRule="auto"/>
        <w:jc w:val="left"/>
        <w:rPr>
          <w:rFonts w:hAnsi="宋体" w:cs="宋体"/>
          <w:color w:val="auto"/>
          <w:sz w:val="24"/>
          <w:highlight w:val="none"/>
        </w:rPr>
      </w:pPr>
      <w:r>
        <w:rPr>
          <w:rFonts w:hint="eastAsia" w:ascii="宋体" w:hAnsi="宋体"/>
          <w:color w:val="auto"/>
          <w:sz w:val="24"/>
          <w:highlight w:val="none"/>
        </w:rPr>
        <w:t>采购人逾期付款，则每日按</w:t>
      </w:r>
      <w:r>
        <w:rPr>
          <w:rFonts w:hint="eastAsia" w:ascii="宋体" w:hAnsi="宋体"/>
          <w:color w:val="auto"/>
          <w:sz w:val="24"/>
          <w:highlight w:val="none"/>
          <w:lang w:val="en-US" w:eastAsia="zh-CN"/>
        </w:rPr>
        <w:t>合同签订金额</w:t>
      </w:r>
      <w:r>
        <w:rPr>
          <w:rFonts w:hint="eastAsia" w:ascii="宋体" w:hAnsi="宋体"/>
          <w:color w:val="auto"/>
          <w:sz w:val="24"/>
          <w:highlight w:val="none"/>
        </w:rPr>
        <w:t>的</w:t>
      </w:r>
      <w:r>
        <w:rPr>
          <w:rFonts w:hint="eastAsia" w:ascii="宋体" w:hAnsi="宋体"/>
          <w:color w:val="auto"/>
          <w:sz w:val="24"/>
          <w:highlight w:val="none"/>
          <w:u w:val="single"/>
        </w:rPr>
        <w:t>1‰</w:t>
      </w:r>
      <w:r>
        <w:rPr>
          <w:rFonts w:hint="eastAsia" w:ascii="宋体" w:hAnsi="宋体"/>
          <w:color w:val="auto"/>
          <w:sz w:val="24"/>
          <w:highlight w:val="none"/>
        </w:rPr>
        <w:t>向乙方偿付违约金。</w:t>
      </w:r>
    </w:p>
    <w:p>
      <w:pPr>
        <w:pStyle w:val="8"/>
        <w:numPr>
          <w:ilvl w:val="0"/>
          <w:numId w:val="10"/>
        </w:numPr>
        <w:tabs>
          <w:tab w:val="left" w:pos="540"/>
        </w:tabs>
        <w:snapToGrid w:val="0"/>
        <w:spacing w:line="360" w:lineRule="auto"/>
        <w:rPr>
          <w:rFonts w:cs="宋体" w:asciiTheme="minorEastAsia" w:hAnsiTheme="minorEastAsia"/>
          <w:b/>
          <w:color w:val="auto"/>
          <w:sz w:val="24"/>
          <w:szCs w:val="24"/>
          <w:highlight w:val="none"/>
        </w:rPr>
      </w:pPr>
      <w:r>
        <w:rPr>
          <w:rFonts w:hint="eastAsia" w:cs="宋体" w:asciiTheme="minorEastAsia" w:hAnsiTheme="minorEastAsia"/>
          <w:b/>
          <w:color w:val="auto"/>
          <w:sz w:val="24"/>
          <w:szCs w:val="24"/>
          <w:highlight w:val="none"/>
        </w:rPr>
        <w:t>绩效评价指标要求</w:t>
      </w:r>
      <w:r>
        <w:rPr>
          <w:rFonts w:hint="eastAsia" w:asciiTheme="minorEastAsia" w:hAnsiTheme="minorEastAsia"/>
          <w:b/>
          <w:color w:val="auto"/>
          <w:sz w:val="24"/>
          <w:szCs w:val="24"/>
          <w:highlight w:val="none"/>
        </w:rPr>
        <w:t>（适用于各包组）</w:t>
      </w:r>
    </w:p>
    <w:tbl>
      <w:tblPr>
        <w:tblStyle w:val="16"/>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45"/>
        <w:gridCol w:w="822"/>
        <w:gridCol w:w="1051"/>
        <w:gridCol w:w="3065"/>
        <w:gridCol w:w="449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5" w:hRule="atLeast"/>
        </w:trPr>
        <w:tc>
          <w:tcPr>
            <w:tcW w:w="411" w:type="pct"/>
            <w:shd w:val="clear" w:color="000000" w:fill="FFFFFF"/>
            <w:vAlign w:val="center"/>
          </w:tcPr>
          <w:p>
            <w:pPr>
              <w:widowControl/>
              <w:jc w:val="center"/>
              <w:rPr>
                <w:rFonts w:cs="宋体" w:asciiTheme="minorEastAsia" w:hAnsiTheme="minorEastAsia"/>
                <w:b/>
                <w:bCs/>
                <w:color w:val="auto"/>
                <w:sz w:val="24"/>
                <w:highlight w:val="none"/>
              </w:rPr>
            </w:pPr>
            <w:r>
              <w:rPr>
                <w:rFonts w:hint="eastAsia" w:cs="宋体" w:asciiTheme="minorEastAsia" w:hAnsiTheme="minorEastAsia"/>
                <w:b/>
                <w:bCs/>
                <w:color w:val="auto"/>
                <w:sz w:val="24"/>
                <w:highlight w:val="none"/>
              </w:rPr>
              <w:t>一级</w:t>
            </w:r>
            <w:r>
              <w:rPr>
                <w:rFonts w:hint="eastAsia" w:cs="宋体" w:asciiTheme="minorEastAsia" w:hAnsiTheme="minorEastAsia"/>
                <w:b/>
                <w:bCs/>
                <w:color w:val="auto"/>
                <w:sz w:val="24"/>
                <w:highlight w:val="none"/>
              </w:rPr>
              <w:br w:type="textWrapping"/>
            </w:r>
            <w:r>
              <w:rPr>
                <w:rFonts w:hint="eastAsia" w:cs="宋体" w:asciiTheme="minorEastAsia" w:hAnsiTheme="minorEastAsia"/>
                <w:b/>
                <w:bCs/>
                <w:color w:val="auto"/>
                <w:sz w:val="24"/>
                <w:highlight w:val="none"/>
              </w:rPr>
              <w:t>指标</w:t>
            </w:r>
          </w:p>
        </w:tc>
        <w:tc>
          <w:tcPr>
            <w:tcW w:w="400" w:type="pct"/>
            <w:shd w:val="clear" w:color="000000" w:fill="FFFFFF"/>
            <w:vAlign w:val="center"/>
          </w:tcPr>
          <w:p>
            <w:pPr>
              <w:widowControl/>
              <w:jc w:val="center"/>
              <w:rPr>
                <w:rFonts w:cs="宋体" w:asciiTheme="minorEastAsia" w:hAnsiTheme="minorEastAsia"/>
                <w:b/>
                <w:bCs/>
                <w:color w:val="auto"/>
                <w:sz w:val="24"/>
                <w:highlight w:val="none"/>
              </w:rPr>
            </w:pPr>
            <w:r>
              <w:rPr>
                <w:rFonts w:hint="eastAsia" w:cs="宋体" w:asciiTheme="minorEastAsia" w:hAnsiTheme="minorEastAsia"/>
                <w:b/>
                <w:bCs/>
                <w:color w:val="auto"/>
                <w:sz w:val="24"/>
                <w:highlight w:val="none"/>
              </w:rPr>
              <w:t>二级</w:t>
            </w:r>
            <w:r>
              <w:rPr>
                <w:rFonts w:hint="eastAsia" w:cs="宋体" w:asciiTheme="minorEastAsia" w:hAnsiTheme="minorEastAsia"/>
                <w:b/>
                <w:bCs/>
                <w:color w:val="auto"/>
                <w:sz w:val="24"/>
                <w:highlight w:val="none"/>
              </w:rPr>
              <w:br w:type="textWrapping"/>
            </w:r>
            <w:r>
              <w:rPr>
                <w:rFonts w:hint="eastAsia" w:cs="宋体" w:asciiTheme="minorEastAsia" w:hAnsiTheme="minorEastAsia"/>
                <w:b/>
                <w:bCs/>
                <w:color w:val="auto"/>
                <w:sz w:val="24"/>
                <w:highlight w:val="none"/>
              </w:rPr>
              <w:t>指标</w:t>
            </w:r>
          </w:p>
        </w:tc>
        <w:tc>
          <w:tcPr>
            <w:tcW w:w="511" w:type="pct"/>
            <w:shd w:val="clear" w:color="000000" w:fill="FFFFFF"/>
            <w:vAlign w:val="center"/>
          </w:tcPr>
          <w:p>
            <w:pPr>
              <w:widowControl/>
              <w:jc w:val="center"/>
              <w:rPr>
                <w:rFonts w:cs="宋体" w:asciiTheme="minorEastAsia" w:hAnsiTheme="minorEastAsia"/>
                <w:b/>
                <w:bCs/>
                <w:color w:val="auto"/>
                <w:sz w:val="24"/>
                <w:highlight w:val="none"/>
              </w:rPr>
            </w:pPr>
            <w:r>
              <w:rPr>
                <w:rFonts w:hint="eastAsia" w:cs="宋体" w:asciiTheme="minorEastAsia" w:hAnsiTheme="minorEastAsia"/>
                <w:b/>
                <w:bCs/>
                <w:color w:val="auto"/>
                <w:sz w:val="24"/>
                <w:highlight w:val="none"/>
              </w:rPr>
              <w:t>三级指标</w:t>
            </w:r>
          </w:p>
        </w:tc>
        <w:tc>
          <w:tcPr>
            <w:tcW w:w="1491" w:type="pct"/>
            <w:shd w:val="clear" w:color="000000" w:fill="FFFFFF"/>
            <w:vAlign w:val="center"/>
          </w:tcPr>
          <w:p>
            <w:pPr>
              <w:widowControl/>
              <w:jc w:val="center"/>
              <w:rPr>
                <w:rFonts w:cs="宋体" w:asciiTheme="minorEastAsia" w:hAnsiTheme="minorEastAsia"/>
                <w:b/>
                <w:bCs/>
                <w:color w:val="auto"/>
                <w:sz w:val="24"/>
                <w:highlight w:val="none"/>
              </w:rPr>
            </w:pPr>
            <w:r>
              <w:rPr>
                <w:rFonts w:hint="eastAsia" w:cs="宋体" w:asciiTheme="minorEastAsia" w:hAnsiTheme="minorEastAsia"/>
                <w:b/>
                <w:bCs/>
                <w:color w:val="auto"/>
                <w:sz w:val="24"/>
                <w:highlight w:val="none"/>
              </w:rPr>
              <w:t>指标解释</w:t>
            </w:r>
          </w:p>
        </w:tc>
        <w:tc>
          <w:tcPr>
            <w:tcW w:w="2187" w:type="pct"/>
            <w:shd w:val="clear" w:color="000000" w:fill="FFFFFF"/>
            <w:vAlign w:val="center"/>
          </w:tcPr>
          <w:p>
            <w:pPr>
              <w:widowControl/>
              <w:jc w:val="center"/>
              <w:rPr>
                <w:rFonts w:cs="宋体" w:asciiTheme="minorEastAsia" w:hAnsiTheme="minorEastAsia"/>
                <w:b/>
                <w:bCs/>
                <w:color w:val="auto"/>
                <w:sz w:val="24"/>
                <w:highlight w:val="none"/>
              </w:rPr>
            </w:pPr>
            <w:r>
              <w:rPr>
                <w:rFonts w:hint="eastAsia" w:cs="宋体" w:asciiTheme="minorEastAsia" w:hAnsiTheme="minorEastAsia"/>
                <w:b/>
                <w:bCs/>
                <w:color w:val="auto"/>
                <w:sz w:val="24"/>
                <w:highlight w:val="none"/>
              </w:rPr>
              <w:t>指标说明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95" w:hRule="atLeast"/>
        </w:trPr>
        <w:tc>
          <w:tcPr>
            <w:tcW w:w="411" w:type="pct"/>
            <w:vMerge w:val="restart"/>
            <w:shd w:val="clear" w:color="000000" w:fill="FFFFFF"/>
            <w:noWrap/>
            <w:textDirection w:val="tbRlV"/>
            <w:vAlign w:val="center"/>
          </w:tcPr>
          <w:p>
            <w:pPr>
              <w:widowControl/>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过   程</w:t>
            </w:r>
          </w:p>
        </w:tc>
        <w:tc>
          <w:tcPr>
            <w:tcW w:w="400" w:type="pct"/>
            <w:vMerge w:val="restart"/>
            <w:shd w:val="clear" w:color="000000" w:fill="FFFFFF"/>
            <w:vAlign w:val="center"/>
          </w:tcPr>
          <w:p>
            <w:pPr>
              <w:widowControl/>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业务</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管理</w:t>
            </w:r>
          </w:p>
        </w:tc>
        <w:tc>
          <w:tcPr>
            <w:tcW w:w="51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管理制度健全性</w:t>
            </w:r>
          </w:p>
        </w:tc>
        <w:tc>
          <w:tcPr>
            <w:tcW w:w="149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项目实施单位的业务管理制度是否健全，用以反映和考核业务管理制度对项目顺利实施的保障情况。</w:t>
            </w:r>
          </w:p>
        </w:tc>
        <w:tc>
          <w:tcPr>
            <w:tcW w:w="2187"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评价要点：</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①是否已制定或具有相应的业务管理制度；</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②业务管理制度是否合法、合规、完整。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70" w:hRule="atLeast"/>
        </w:trPr>
        <w:tc>
          <w:tcPr>
            <w:tcW w:w="411" w:type="pct"/>
            <w:vMerge w:val="continue"/>
            <w:vAlign w:val="center"/>
          </w:tcPr>
          <w:p>
            <w:pPr>
              <w:widowControl/>
              <w:jc w:val="left"/>
              <w:rPr>
                <w:rFonts w:cs="宋体" w:asciiTheme="minorEastAsia" w:hAnsiTheme="minorEastAsia"/>
                <w:color w:val="auto"/>
                <w:sz w:val="24"/>
                <w:highlight w:val="none"/>
              </w:rPr>
            </w:pPr>
          </w:p>
        </w:tc>
        <w:tc>
          <w:tcPr>
            <w:tcW w:w="400" w:type="pct"/>
            <w:vMerge w:val="continue"/>
            <w:vAlign w:val="center"/>
          </w:tcPr>
          <w:p>
            <w:pPr>
              <w:widowControl/>
              <w:jc w:val="left"/>
              <w:rPr>
                <w:rFonts w:cs="宋体" w:asciiTheme="minorEastAsia" w:hAnsiTheme="minorEastAsia"/>
                <w:color w:val="auto"/>
                <w:sz w:val="24"/>
                <w:highlight w:val="none"/>
              </w:rPr>
            </w:pPr>
          </w:p>
        </w:tc>
        <w:tc>
          <w:tcPr>
            <w:tcW w:w="51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制度执行有效性</w:t>
            </w:r>
          </w:p>
        </w:tc>
        <w:tc>
          <w:tcPr>
            <w:tcW w:w="149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项目实施是否符合相关业务管理规定，用以反映和考核业务管理制度的有效执行情况。</w:t>
            </w:r>
          </w:p>
        </w:tc>
        <w:tc>
          <w:tcPr>
            <w:tcW w:w="2187"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评价要点：</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①是否遵守相关法律法规和业务管理规定；</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②项目调整及支出调整手续是否完备；</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③项目合同书、验收报告、技术鉴定等资料是否齐全并及时归档；</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④项目实施的人员条件、场地设备、信息支撑等是否落实到位。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80" w:hRule="atLeast"/>
        </w:trPr>
        <w:tc>
          <w:tcPr>
            <w:tcW w:w="411" w:type="pct"/>
            <w:vMerge w:val="continue"/>
            <w:vAlign w:val="center"/>
          </w:tcPr>
          <w:p>
            <w:pPr>
              <w:widowControl/>
              <w:jc w:val="left"/>
              <w:rPr>
                <w:rFonts w:cs="宋体" w:asciiTheme="minorEastAsia" w:hAnsiTheme="minorEastAsia"/>
                <w:color w:val="auto"/>
                <w:sz w:val="24"/>
                <w:highlight w:val="none"/>
              </w:rPr>
            </w:pPr>
          </w:p>
        </w:tc>
        <w:tc>
          <w:tcPr>
            <w:tcW w:w="400" w:type="pct"/>
            <w:vMerge w:val="continue"/>
            <w:vAlign w:val="center"/>
          </w:tcPr>
          <w:p>
            <w:pPr>
              <w:widowControl/>
              <w:jc w:val="left"/>
              <w:rPr>
                <w:rFonts w:cs="宋体" w:asciiTheme="minorEastAsia" w:hAnsiTheme="minorEastAsia"/>
                <w:color w:val="auto"/>
                <w:sz w:val="24"/>
                <w:highlight w:val="none"/>
              </w:rPr>
            </w:pPr>
          </w:p>
        </w:tc>
        <w:tc>
          <w:tcPr>
            <w:tcW w:w="51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项目质量可控性</w:t>
            </w:r>
          </w:p>
        </w:tc>
        <w:tc>
          <w:tcPr>
            <w:tcW w:w="149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项目实施单位是否为达到项目质量要求而采取了必需的措施,用以反映和考核项目实施单位对项目质量的控制情况。</w:t>
            </w:r>
          </w:p>
        </w:tc>
        <w:tc>
          <w:tcPr>
            <w:tcW w:w="2187"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评价要点：</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①是否已制定或具有相应的项目质量要求或标准；</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②是否采取了相应的项目质量检查、验收等必需的控制措施或手段。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5" w:hRule="atLeast"/>
        </w:trPr>
        <w:tc>
          <w:tcPr>
            <w:tcW w:w="411" w:type="pct"/>
            <w:vMerge w:val="restart"/>
            <w:shd w:val="clear" w:color="000000" w:fill="FFFFFF"/>
            <w:noWrap/>
            <w:textDirection w:val="tbRlV"/>
            <w:vAlign w:val="center"/>
          </w:tcPr>
          <w:p>
            <w:pPr>
              <w:widowControl/>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过   程</w:t>
            </w:r>
          </w:p>
        </w:tc>
        <w:tc>
          <w:tcPr>
            <w:tcW w:w="400" w:type="pct"/>
            <w:vMerge w:val="restart"/>
            <w:shd w:val="clear" w:color="000000" w:fill="FFFFFF"/>
            <w:vAlign w:val="center"/>
          </w:tcPr>
          <w:p>
            <w:pPr>
              <w:widowControl/>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财务</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管理</w:t>
            </w:r>
          </w:p>
        </w:tc>
        <w:tc>
          <w:tcPr>
            <w:tcW w:w="51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管理制度健全性</w:t>
            </w:r>
          </w:p>
        </w:tc>
        <w:tc>
          <w:tcPr>
            <w:tcW w:w="149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项目实施单位的财务制度是否健全，用以反映和考核财务管理制度对资金规范、安全运行的保障情况。</w:t>
            </w:r>
          </w:p>
        </w:tc>
        <w:tc>
          <w:tcPr>
            <w:tcW w:w="2187"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评价要点：</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①是否已制定或具有相应的项目资金管理办法；</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②项目资金管理办法是否符合相关财务会计制度的规定。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80" w:hRule="atLeast"/>
        </w:trPr>
        <w:tc>
          <w:tcPr>
            <w:tcW w:w="411" w:type="pct"/>
            <w:vMerge w:val="continue"/>
            <w:vAlign w:val="center"/>
          </w:tcPr>
          <w:p>
            <w:pPr>
              <w:widowControl/>
              <w:jc w:val="left"/>
              <w:rPr>
                <w:rFonts w:cs="宋体" w:asciiTheme="minorEastAsia" w:hAnsiTheme="minorEastAsia"/>
                <w:color w:val="auto"/>
                <w:sz w:val="24"/>
                <w:highlight w:val="none"/>
              </w:rPr>
            </w:pPr>
          </w:p>
        </w:tc>
        <w:tc>
          <w:tcPr>
            <w:tcW w:w="400" w:type="pct"/>
            <w:vMerge w:val="continue"/>
            <w:vAlign w:val="center"/>
          </w:tcPr>
          <w:p>
            <w:pPr>
              <w:widowControl/>
              <w:jc w:val="left"/>
              <w:rPr>
                <w:rFonts w:cs="宋体" w:asciiTheme="minorEastAsia" w:hAnsiTheme="minorEastAsia"/>
                <w:color w:val="auto"/>
                <w:sz w:val="24"/>
                <w:highlight w:val="none"/>
              </w:rPr>
            </w:pPr>
          </w:p>
        </w:tc>
        <w:tc>
          <w:tcPr>
            <w:tcW w:w="51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资金使用合规性</w:t>
            </w:r>
          </w:p>
        </w:tc>
        <w:tc>
          <w:tcPr>
            <w:tcW w:w="149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项目资金使用是否符合相关的财务管理制度规定，用以反映和考核项目资金的规范运行情况。</w:t>
            </w:r>
          </w:p>
        </w:tc>
        <w:tc>
          <w:tcPr>
            <w:tcW w:w="2187"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评价要点：</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①是否符合国家财经法规和财务管理制度以及有关专项资金管理办法的规定；</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②资金的拨付是否有完整的审批程序和手续；</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③项目的重大开支是否经过评估认证；</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④是否符合项目预算批复或合同规定的用途；</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⑤是否存在截留、挤占、挪用、虚列支出等情况。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5" w:hRule="atLeast"/>
        </w:trPr>
        <w:tc>
          <w:tcPr>
            <w:tcW w:w="411" w:type="pct"/>
            <w:vMerge w:val="continue"/>
            <w:vAlign w:val="center"/>
          </w:tcPr>
          <w:p>
            <w:pPr>
              <w:widowControl/>
              <w:jc w:val="left"/>
              <w:rPr>
                <w:rFonts w:cs="宋体" w:asciiTheme="minorEastAsia" w:hAnsiTheme="minorEastAsia"/>
                <w:color w:val="auto"/>
                <w:sz w:val="24"/>
                <w:highlight w:val="none"/>
              </w:rPr>
            </w:pPr>
          </w:p>
        </w:tc>
        <w:tc>
          <w:tcPr>
            <w:tcW w:w="400" w:type="pct"/>
            <w:vMerge w:val="continue"/>
            <w:vAlign w:val="center"/>
          </w:tcPr>
          <w:p>
            <w:pPr>
              <w:widowControl/>
              <w:jc w:val="left"/>
              <w:rPr>
                <w:rFonts w:cs="宋体" w:asciiTheme="minorEastAsia" w:hAnsiTheme="minorEastAsia"/>
                <w:color w:val="auto"/>
                <w:sz w:val="24"/>
                <w:highlight w:val="none"/>
              </w:rPr>
            </w:pPr>
          </w:p>
        </w:tc>
        <w:tc>
          <w:tcPr>
            <w:tcW w:w="51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财务监控有效性</w:t>
            </w:r>
          </w:p>
        </w:tc>
        <w:tc>
          <w:tcPr>
            <w:tcW w:w="149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项目实施单位是否为保障资金的安全、规范运行而采取了必要的监控措施，用以反映和考核项目实施单位对资金运行的控制情况。</w:t>
            </w:r>
          </w:p>
        </w:tc>
        <w:tc>
          <w:tcPr>
            <w:tcW w:w="2187"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评价要点：</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①是否已制定或具有相应的监控机制；</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②是否采取了相应的财务检查等必要的监控措施或手段。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10" w:hRule="atLeast"/>
        </w:trPr>
        <w:tc>
          <w:tcPr>
            <w:tcW w:w="411" w:type="pct"/>
            <w:vMerge w:val="restart"/>
            <w:shd w:val="clear" w:color="000000" w:fill="FFFFFF"/>
            <w:noWrap/>
            <w:textDirection w:val="tbRlV"/>
            <w:vAlign w:val="center"/>
          </w:tcPr>
          <w:p>
            <w:pPr>
              <w:widowControl/>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产   出</w:t>
            </w:r>
          </w:p>
        </w:tc>
        <w:tc>
          <w:tcPr>
            <w:tcW w:w="400" w:type="pct"/>
            <w:vMerge w:val="restart"/>
            <w:shd w:val="clear" w:color="000000" w:fill="FFFFFF"/>
            <w:vAlign w:val="center"/>
          </w:tcPr>
          <w:p>
            <w:pPr>
              <w:widowControl/>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项目</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产出</w:t>
            </w:r>
          </w:p>
        </w:tc>
        <w:tc>
          <w:tcPr>
            <w:tcW w:w="51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实际完成率</w:t>
            </w:r>
          </w:p>
        </w:tc>
        <w:tc>
          <w:tcPr>
            <w:tcW w:w="149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项目实施的实际产出数与计划产出数的比率，用以反映和考核项目产出数量目标的实现程度。</w:t>
            </w:r>
          </w:p>
        </w:tc>
        <w:tc>
          <w:tcPr>
            <w:tcW w:w="2187"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实际完成率=（实际产出数/计划产出数）×100%。</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实际产出数：一定时期（本年度或项目期）内项目实际产出的产品或提供的服务数量。</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计划产出数：项目绩效目标确定的在一定时期（本年度或项目期）内计划产出的产品或提供的服务数量。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10" w:hRule="atLeast"/>
        </w:trPr>
        <w:tc>
          <w:tcPr>
            <w:tcW w:w="411" w:type="pct"/>
            <w:vMerge w:val="continue"/>
            <w:vAlign w:val="center"/>
          </w:tcPr>
          <w:p>
            <w:pPr>
              <w:widowControl/>
              <w:jc w:val="left"/>
              <w:rPr>
                <w:rFonts w:cs="宋体" w:asciiTheme="minorEastAsia" w:hAnsiTheme="minorEastAsia"/>
                <w:color w:val="auto"/>
                <w:sz w:val="24"/>
                <w:highlight w:val="none"/>
              </w:rPr>
            </w:pPr>
          </w:p>
        </w:tc>
        <w:tc>
          <w:tcPr>
            <w:tcW w:w="400" w:type="pct"/>
            <w:vMerge w:val="continue"/>
            <w:vAlign w:val="center"/>
          </w:tcPr>
          <w:p>
            <w:pPr>
              <w:widowControl/>
              <w:jc w:val="left"/>
              <w:rPr>
                <w:rFonts w:cs="宋体" w:asciiTheme="minorEastAsia" w:hAnsiTheme="minorEastAsia"/>
                <w:color w:val="auto"/>
                <w:sz w:val="24"/>
                <w:highlight w:val="none"/>
              </w:rPr>
            </w:pPr>
          </w:p>
        </w:tc>
        <w:tc>
          <w:tcPr>
            <w:tcW w:w="51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完成及时率</w:t>
            </w:r>
          </w:p>
        </w:tc>
        <w:tc>
          <w:tcPr>
            <w:tcW w:w="149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项目实际提前完成时间与计划完成时间的比率，用以反映和考核项目产出时效目标的实现程度。</w:t>
            </w:r>
          </w:p>
        </w:tc>
        <w:tc>
          <w:tcPr>
            <w:tcW w:w="2187"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完成及时率=[（计划完成时间-实际完成时间）/计划完成时间]×100%。</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实际完成时间：项目实施单位完成该项目实际所耗用的时间。</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计划完成时间：按照项目实施计划或相关规定完成该项目所需的时间。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25" w:hRule="atLeast"/>
        </w:trPr>
        <w:tc>
          <w:tcPr>
            <w:tcW w:w="411" w:type="pct"/>
            <w:vMerge w:val="continue"/>
            <w:vAlign w:val="center"/>
          </w:tcPr>
          <w:p>
            <w:pPr>
              <w:widowControl/>
              <w:jc w:val="left"/>
              <w:rPr>
                <w:rFonts w:cs="宋体" w:asciiTheme="minorEastAsia" w:hAnsiTheme="minorEastAsia"/>
                <w:color w:val="auto"/>
                <w:sz w:val="24"/>
                <w:highlight w:val="none"/>
              </w:rPr>
            </w:pPr>
          </w:p>
        </w:tc>
        <w:tc>
          <w:tcPr>
            <w:tcW w:w="400" w:type="pct"/>
            <w:vMerge w:val="continue"/>
            <w:vAlign w:val="center"/>
          </w:tcPr>
          <w:p>
            <w:pPr>
              <w:widowControl/>
              <w:jc w:val="left"/>
              <w:rPr>
                <w:rFonts w:cs="宋体" w:asciiTheme="minorEastAsia" w:hAnsiTheme="minorEastAsia"/>
                <w:color w:val="auto"/>
                <w:sz w:val="24"/>
                <w:highlight w:val="none"/>
              </w:rPr>
            </w:pPr>
          </w:p>
        </w:tc>
        <w:tc>
          <w:tcPr>
            <w:tcW w:w="51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质量达标率</w:t>
            </w:r>
          </w:p>
        </w:tc>
        <w:tc>
          <w:tcPr>
            <w:tcW w:w="149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项目完成的质量达标产出数与实际产出数的比率，用以反映和考核项目产出质量目标的实现程度。</w:t>
            </w:r>
          </w:p>
        </w:tc>
        <w:tc>
          <w:tcPr>
            <w:tcW w:w="2187"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质量达标率=（质量达标产出数/实际产出数）×100%。</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质量达标产出数：一定时期（本年度或项目期）内实际达到既定质量标准的产品或服务数量。</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既定质量标准是指项目实施单位设立绩效目标时依据计划标准、行业标准、历史标准或其他标准而设定的绩效指标值。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70" w:hRule="atLeast"/>
        </w:trPr>
        <w:tc>
          <w:tcPr>
            <w:tcW w:w="411" w:type="pct"/>
            <w:vMerge w:val="continue"/>
            <w:vAlign w:val="center"/>
          </w:tcPr>
          <w:p>
            <w:pPr>
              <w:widowControl/>
              <w:jc w:val="left"/>
              <w:rPr>
                <w:rFonts w:cs="宋体" w:asciiTheme="minorEastAsia" w:hAnsiTheme="minorEastAsia"/>
                <w:color w:val="auto"/>
                <w:sz w:val="24"/>
                <w:highlight w:val="none"/>
              </w:rPr>
            </w:pPr>
          </w:p>
        </w:tc>
        <w:tc>
          <w:tcPr>
            <w:tcW w:w="400" w:type="pct"/>
            <w:vMerge w:val="continue"/>
            <w:vAlign w:val="center"/>
          </w:tcPr>
          <w:p>
            <w:pPr>
              <w:widowControl/>
              <w:jc w:val="left"/>
              <w:rPr>
                <w:rFonts w:cs="宋体" w:asciiTheme="minorEastAsia" w:hAnsiTheme="minorEastAsia"/>
                <w:color w:val="auto"/>
                <w:sz w:val="24"/>
                <w:highlight w:val="none"/>
              </w:rPr>
            </w:pPr>
          </w:p>
        </w:tc>
        <w:tc>
          <w:tcPr>
            <w:tcW w:w="51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成本节约率</w:t>
            </w:r>
          </w:p>
        </w:tc>
        <w:tc>
          <w:tcPr>
            <w:tcW w:w="149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完成项目计划工作目标的实际节约成本与计划成本的比率，用以反映和考核项目的成本节约程度。</w:t>
            </w:r>
          </w:p>
        </w:tc>
        <w:tc>
          <w:tcPr>
            <w:tcW w:w="2187"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成本节约率=[（计划成本-实际成本）/计划成本]×100%。</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实际成本：项目实施单位如期、保质、保量完成既定工作目标实际所耗费的支出。</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计划成本：项目实施单位为完成工作目标计划安排的支出，一般以项目预算为参考。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0" w:hRule="atLeast"/>
        </w:trPr>
        <w:tc>
          <w:tcPr>
            <w:tcW w:w="411" w:type="pct"/>
            <w:vMerge w:val="restart"/>
            <w:shd w:val="clear" w:color="000000" w:fill="FFFFFF"/>
            <w:noWrap/>
            <w:textDirection w:val="tbRlV"/>
            <w:vAlign w:val="center"/>
          </w:tcPr>
          <w:p>
            <w:pPr>
              <w:widowControl/>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效   果</w:t>
            </w:r>
          </w:p>
        </w:tc>
        <w:tc>
          <w:tcPr>
            <w:tcW w:w="400" w:type="pct"/>
            <w:vMerge w:val="restart"/>
            <w:shd w:val="clear" w:color="000000" w:fill="FFFFFF"/>
            <w:vAlign w:val="center"/>
          </w:tcPr>
          <w:p>
            <w:pPr>
              <w:widowControl/>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项目</w:t>
            </w:r>
            <w:r>
              <w:rPr>
                <w:rFonts w:hint="eastAsia" w:cs="宋体" w:asciiTheme="minorEastAsia" w:hAnsiTheme="minorEastAsia"/>
                <w:color w:val="auto"/>
                <w:sz w:val="24"/>
                <w:highlight w:val="none"/>
              </w:rPr>
              <w:br w:type="textWrapping"/>
            </w:r>
            <w:r>
              <w:rPr>
                <w:rFonts w:hint="eastAsia" w:cs="宋体" w:asciiTheme="minorEastAsia" w:hAnsiTheme="minorEastAsia"/>
                <w:color w:val="auto"/>
                <w:sz w:val="24"/>
                <w:highlight w:val="none"/>
              </w:rPr>
              <w:t>效益</w:t>
            </w:r>
          </w:p>
        </w:tc>
        <w:tc>
          <w:tcPr>
            <w:tcW w:w="51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经济效益</w:t>
            </w:r>
          </w:p>
        </w:tc>
        <w:tc>
          <w:tcPr>
            <w:tcW w:w="149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项目实施对经济发展所带来的直接或间接影响情况。</w:t>
            </w:r>
          </w:p>
        </w:tc>
        <w:tc>
          <w:tcPr>
            <w:tcW w:w="2187" w:type="pct"/>
            <w:vMerge w:val="restar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此四项指标为设置项目支出绩效评价指标时必须考虑的共性要素，可根据项目实际并结合绩效目标设立情况有选择的进行设置，并将其细化为相应的个性化指标。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0" w:hRule="atLeast"/>
        </w:trPr>
        <w:tc>
          <w:tcPr>
            <w:tcW w:w="411" w:type="pct"/>
            <w:vMerge w:val="continue"/>
            <w:vAlign w:val="center"/>
          </w:tcPr>
          <w:p>
            <w:pPr>
              <w:widowControl/>
              <w:jc w:val="left"/>
              <w:rPr>
                <w:rFonts w:cs="宋体" w:asciiTheme="minorEastAsia" w:hAnsiTheme="minorEastAsia"/>
                <w:color w:val="auto"/>
                <w:sz w:val="24"/>
                <w:highlight w:val="none"/>
              </w:rPr>
            </w:pPr>
          </w:p>
        </w:tc>
        <w:tc>
          <w:tcPr>
            <w:tcW w:w="400" w:type="pct"/>
            <w:vMerge w:val="continue"/>
            <w:vAlign w:val="center"/>
          </w:tcPr>
          <w:p>
            <w:pPr>
              <w:widowControl/>
              <w:jc w:val="left"/>
              <w:rPr>
                <w:rFonts w:cs="宋体" w:asciiTheme="minorEastAsia" w:hAnsiTheme="minorEastAsia"/>
                <w:color w:val="auto"/>
                <w:sz w:val="24"/>
                <w:highlight w:val="none"/>
              </w:rPr>
            </w:pPr>
          </w:p>
        </w:tc>
        <w:tc>
          <w:tcPr>
            <w:tcW w:w="51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社会效益</w:t>
            </w:r>
          </w:p>
        </w:tc>
        <w:tc>
          <w:tcPr>
            <w:tcW w:w="149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项目实施对社会发展所带来的直接或间接影响情况。</w:t>
            </w:r>
          </w:p>
        </w:tc>
        <w:tc>
          <w:tcPr>
            <w:tcW w:w="2187" w:type="pct"/>
            <w:vMerge w:val="continue"/>
            <w:vAlign w:val="center"/>
          </w:tcPr>
          <w:p>
            <w:pPr>
              <w:widowControl/>
              <w:jc w:val="left"/>
              <w:rPr>
                <w:rFonts w:cs="宋体" w:asciiTheme="minorEastAsia" w:hAnsiTheme="minorEastAsia"/>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0" w:hRule="atLeast"/>
        </w:trPr>
        <w:tc>
          <w:tcPr>
            <w:tcW w:w="411" w:type="pct"/>
            <w:vMerge w:val="continue"/>
            <w:vAlign w:val="center"/>
          </w:tcPr>
          <w:p>
            <w:pPr>
              <w:widowControl/>
              <w:jc w:val="left"/>
              <w:rPr>
                <w:rFonts w:cs="宋体" w:asciiTheme="minorEastAsia" w:hAnsiTheme="minorEastAsia"/>
                <w:color w:val="auto"/>
                <w:sz w:val="24"/>
                <w:highlight w:val="none"/>
              </w:rPr>
            </w:pPr>
          </w:p>
        </w:tc>
        <w:tc>
          <w:tcPr>
            <w:tcW w:w="400" w:type="pct"/>
            <w:vMerge w:val="continue"/>
            <w:vAlign w:val="center"/>
          </w:tcPr>
          <w:p>
            <w:pPr>
              <w:widowControl/>
              <w:jc w:val="left"/>
              <w:rPr>
                <w:rFonts w:cs="宋体" w:asciiTheme="minorEastAsia" w:hAnsiTheme="minorEastAsia"/>
                <w:color w:val="auto"/>
                <w:sz w:val="24"/>
                <w:highlight w:val="none"/>
              </w:rPr>
            </w:pPr>
          </w:p>
        </w:tc>
        <w:tc>
          <w:tcPr>
            <w:tcW w:w="51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生态效益</w:t>
            </w:r>
          </w:p>
        </w:tc>
        <w:tc>
          <w:tcPr>
            <w:tcW w:w="149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项目实施对生态环境所带来的直接或间接影响情况。</w:t>
            </w:r>
          </w:p>
        </w:tc>
        <w:tc>
          <w:tcPr>
            <w:tcW w:w="2187" w:type="pct"/>
            <w:vMerge w:val="continue"/>
            <w:vAlign w:val="center"/>
          </w:tcPr>
          <w:p>
            <w:pPr>
              <w:widowControl/>
              <w:jc w:val="left"/>
              <w:rPr>
                <w:rFonts w:cs="宋体" w:asciiTheme="minorEastAsia" w:hAnsiTheme="minorEastAsia"/>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0" w:hRule="atLeast"/>
        </w:trPr>
        <w:tc>
          <w:tcPr>
            <w:tcW w:w="411" w:type="pct"/>
            <w:vMerge w:val="continue"/>
            <w:vAlign w:val="center"/>
          </w:tcPr>
          <w:p>
            <w:pPr>
              <w:widowControl/>
              <w:jc w:val="left"/>
              <w:rPr>
                <w:rFonts w:cs="宋体" w:asciiTheme="minorEastAsia" w:hAnsiTheme="minorEastAsia"/>
                <w:color w:val="auto"/>
                <w:sz w:val="24"/>
                <w:highlight w:val="none"/>
              </w:rPr>
            </w:pPr>
          </w:p>
        </w:tc>
        <w:tc>
          <w:tcPr>
            <w:tcW w:w="400" w:type="pct"/>
            <w:vMerge w:val="continue"/>
            <w:vAlign w:val="center"/>
          </w:tcPr>
          <w:p>
            <w:pPr>
              <w:widowControl/>
              <w:jc w:val="left"/>
              <w:rPr>
                <w:rFonts w:cs="宋体" w:asciiTheme="minorEastAsia" w:hAnsiTheme="minorEastAsia"/>
                <w:color w:val="auto"/>
                <w:sz w:val="24"/>
                <w:highlight w:val="none"/>
              </w:rPr>
            </w:pPr>
          </w:p>
        </w:tc>
        <w:tc>
          <w:tcPr>
            <w:tcW w:w="51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可持续影响</w:t>
            </w:r>
          </w:p>
        </w:tc>
        <w:tc>
          <w:tcPr>
            <w:tcW w:w="149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项目后续运行及成效发挥的可持续影响情况。</w:t>
            </w:r>
          </w:p>
        </w:tc>
        <w:tc>
          <w:tcPr>
            <w:tcW w:w="2187" w:type="pct"/>
            <w:vMerge w:val="continue"/>
            <w:vAlign w:val="center"/>
          </w:tcPr>
          <w:p>
            <w:pPr>
              <w:widowControl/>
              <w:jc w:val="left"/>
              <w:rPr>
                <w:rFonts w:cs="宋体" w:asciiTheme="minorEastAsia" w:hAnsiTheme="minorEastAsia"/>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0" w:hRule="atLeast"/>
        </w:trPr>
        <w:tc>
          <w:tcPr>
            <w:tcW w:w="411" w:type="pct"/>
            <w:vMerge w:val="continue"/>
            <w:vAlign w:val="center"/>
          </w:tcPr>
          <w:p>
            <w:pPr>
              <w:widowControl/>
              <w:jc w:val="left"/>
              <w:rPr>
                <w:rFonts w:cs="宋体" w:asciiTheme="minorEastAsia" w:hAnsiTheme="minorEastAsia"/>
                <w:color w:val="auto"/>
                <w:sz w:val="24"/>
                <w:highlight w:val="none"/>
              </w:rPr>
            </w:pPr>
          </w:p>
        </w:tc>
        <w:tc>
          <w:tcPr>
            <w:tcW w:w="400" w:type="pct"/>
            <w:vMerge w:val="continue"/>
            <w:vAlign w:val="center"/>
          </w:tcPr>
          <w:p>
            <w:pPr>
              <w:widowControl/>
              <w:jc w:val="left"/>
              <w:rPr>
                <w:rFonts w:cs="宋体" w:asciiTheme="minorEastAsia" w:hAnsiTheme="minorEastAsia"/>
                <w:color w:val="auto"/>
                <w:sz w:val="24"/>
                <w:highlight w:val="none"/>
              </w:rPr>
            </w:pPr>
          </w:p>
        </w:tc>
        <w:tc>
          <w:tcPr>
            <w:tcW w:w="51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社会公众或服务对象满意度</w:t>
            </w:r>
          </w:p>
        </w:tc>
        <w:tc>
          <w:tcPr>
            <w:tcW w:w="1491"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社会公众或服务对象对项目实施效果的满意程度。</w:t>
            </w:r>
          </w:p>
        </w:tc>
        <w:tc>
          <w:tcPr>
            <w:tcW w:w="2187" w:type="pct"/>
            <w:shd w:val="clear" w:color="000000" w:fill="FFFFFF"/>
            <w:vAlign w:val="center"/>
          </w:tcPr>
          <w:p>
            <w:pPr>
              <w:widowControl/>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社会公众或服务对象是指因该项目实施而受到影响的部门（单位）、群体或个人。一般采取社会调查的方式。</w:t>
            </w:r>
          </w:p>
        </w:tc>
      </w:tr>
    </w:tbl>
    <w:p>
      <w:pPr>
        <w:widowControl/>
        <w:tabs>
          <w:tab w:val="left" w:pos="567"/>
        </w:tabs>
        <w:autoSpaceDE w:val="0"/>
        <w:autoSpaceDN w:val="0"/>
        <w:snapToGrid w:val="0"/>
        <w:spacing w:line="360" w:lineRule="auto"/>
        <w:jc w:val="left"/>
        <w:rPr>
          <w:rFonts w:hAnsi="宋体" w:cs="宋体"/>
          <w:color w:val="auto"/>
          <w:sz w:val="24"/>
          <w:highlight w:val="none"/>
        </w:rPr>
      </w:pPr>
      <w:r>
        <w:rPr>
          <w:rFonts w:hAnsi="宋体" w:cs="宋体"/>
          <w:color w:val="auto"/>
          <w:sz w:val="24"/>
          <w:highlight w:val="none"/>
        </w:rPr>
        <w:br w:type="page"/>
      </w:r>
    </w:p>
    <w:p>
      <w:pPr>
        <w:snapToGrid w:val="0"/>
        <w:spacing w:line="360" w:lineRule="auto"/>
        <w:jc w:val="center"/>
        <w:outlineLvl w:val="0"/>
        <w:rPr>
          <w:b/>
          <w:bCs/>
          <w:color w:val="auto"/>
          <w:sz w:val="28"/>
          <w:szCs w:val="28"/>
          <w:highlight w:val="none"/>
        </w:rPr>
      </w:pPr>
      <w:bookmarkStart w:id="17" w:name="_Toc32510"/>
      <w:r>
        <w:rPr>
          <w:rFonts w:hint="eastAsia"/>
          <w:b/>
          <w:bCs/>
          <w:color w:val="auto"/>
          <w:sz w:val="28"/>
          <w:szCs w:val="28"/>
          <w:highlight w:val="none"/>
        </w:rPr>
        <w:t>第三章 评标方法</w:t>
      </w:r>
      <w:bookmarkEnd w:id="14"/>
      <w:r>
        <w:rPr>
          <w:rFonts w:hint="eastAsia"/>
          <w:b/>
          <w:bCs/>
          <w:color w:val="auto"/>
          <w:sz w:val="28"/>
          <w:szCs w:val="28"/>
          <w:highlight w:val="none"/>
        </w:rPr>
        <w:t>和标准</w:t>
      </w:r>
      <w:bookmarkEnd w:id="17"/>
    </w:p>
    <w:p>
      <w:pPr>
        <w:pStyle w:val="24"/>
        <w:numPr>
          <w:ilvl w:val="0"/>
          <w:numId w:val="21"/>
        </w:numPr>
        <w:tabs>
          <w:tab w:val="left" w:pos="420"/>
          <w:tab w:val="left" w:pos="630"/>
        </w:tabs>
        <w:autoSpaceDE w:val="0"/>
        <w:autoSpaceDN w:val="0"/>
        <w:snapToGrid w:val="0"/>
        <w:spacing w:line="360" w:lineRule="auto"/>
        <w:ind w:firstLineChars="0"/>
        <w:rPr>
          <w:rFonts w:ascii="宋体" w:hAnsi="宋体"/>
          <w:b/>
          <w:color w:val="auto"/>
          <w:sz w:val="24"/>
          <w:highlight w:val="none"/>
        </w:rPr>
      </w:pPr>
      <w:r>
        <w:rPr>
          <w:rFonts w:hint="eastAsia" w:ascii="宋体" w:hAnsi="宋体"/>
          <w:b/>
          <w:color w:val="auto"/>
          <w:sz w:val="24"/>
          <w:highlight w:val="none"/>
        </w:rPr>
        <w:t>说明：</w:t>
      </w:r>
    </w:p>
    <w:p>
      <w:pPr>
        <w:pStyle w:val="24"/>
        <w:numPr>
          <w:ilvl w:val="0"/>
          <w:numId w:val="22"/>
        </w:numPr>
        <w:tabs>
          <w:tab w:val="left" w:pos="630"/>
        </w:tabs>
        <w:autoSpaceDE w:val="0"/>
        <w:autoSpaceDN w:val="0"/>
        <w:snapToGrid w:val="0"/>
        <w:spacing w:line="360" w:lineRule="auto"/>
        <w:ind w:left="567" w:hanging="567" w:firstLineChars="0"/>
        <w:rPr>
          <w:rFonts w:ascii="宋体" w:hAnsi="宋体"/>
          <w:color w:val="auto"/>
          <w:sz w:val="24"/>
          <w:highlight w:val="none"/>
        </w:rPr>
      </w:pPr>
      <w:r>
        <w:rPr>
          <w:rFonts w:hint="eastAsia" w:ascii="宋体" w:hAnsi="宋体"/>
          <w:color w:val="auto"/>
          <w:sz w:val="24"/>
          <w:highlight w:val="none"/>
        </w:rPr>
        <w:t>投标人必须严格按照《资格性审查表》、《符合性审查表》的评审内容的要求如实提供证明材料并应加盖投标人公章，若投标人不满足《资格性审查表》、《符合性审查表》中任何情形之一的，则其投标无效。</w:t>
      </w:r>
    </w:p>
    <w:p>
      <w:pPr>
        <w:pStyle w:val="24"/>
        <w:numPr>
          <w:ilvl w:val="0"/>
          <w:numId w:val="22"/>
        </w:numPr>
        <w:tabs>
          <w:tab w:val="left" w:pos="630"/>
        </w:tabs>
        <w:autoSpaceDE w:val="0"/>
        <w:autoSpaceDN w:val="0"/>
        <w:snapToGrid w:val="0"/>
        <w:spacing w:line="360" w:lineRule="auto"/>
        <w:ind w:left="567" w:hanging="567" w:firstLineChars="0"/>
        <w:rPr>
          <w:rFonts w:ascii="宋体" w:hAnsi="宋体"/>
          <w:strike/>
          <w:color w:val="auto"/>
          <w:sz w:val="24"/>
          <w:highlight w:val="none"/>
        </w:rPr>
      </w:pPr>
      <w:r>
        <w:rPr>
          <w:rFonts w:hint="eastAsia" w:ascii="宋体" w:hAnsi="宋体"/>
          <w:color w:val="auto"/>
          <w:sz w:val="24"/>
          <w:highlight w:val="none"/>
        </w:rPr>
        <w:t>各包组资格性、符合性审查内容详见《资格性审查表》、《符合性审查表》。</w:t>
      </w:r>
    </w:p>
    <w:p>
      <w:pPr>
        <w:pStyle w:val="24"/>
        <w:numPr>
          <w:ilvl w:val="0"/>
          <w:numId w:val="22"/>
        </w:numPr>
        <w:tabs>
          <w:tab w:val="left" w:pos="630"/>
        </w:tabs>
        <w:autoSpaceDE w:val="0"/>
        <w:autoSpaceDN w:val="0"/>
        <w:snapToGrid w:val="0"/>
        <w:spacing w:line="360" w:lineRule="auto"/>
        <w:ind w:left="567" w:hanging="567" w:firstLineChars="0"/>
        <w:rPr>
          <w:rFonts w:ascii="宋体" w:hAnsi="宋体"/>
          <w:color w:val="auto"/>
          <w:sz w:val="24"/>
          <w:highlight w:val="none"/>
        </w:rPr>
      </w:pPr>
      <w:r>
        <w:rPr>
          <w:rFonts w:hint="eastAsia" w:ascii="宋体" w:hAnsi="宋体"/>
          <w:color w:val="auto"/>
          <w:sz w:val="24"/>
          <w:highlight w:val="none"/>
        </w:rPr>
        <w:t>技术、商务评分：评标委员会各成员分值的算术平均值（四舍五入后，小数点后保留两位有效数）。</w:t>
      </w:r>
    </w:p>
    <w:p>
      <w:pPr>
        <w:pStyle w:val="24"/>
        <w:numPr>
          <w:ilvl w:val="0"/>
          <w:numId w:val="22"/>
        </w:numPr>
        <w:tabs>
          <w:tab w:val="left" w:pos="630"/>
        </w:tabs>
        <w:autoSpaceDE w:val="0"/>
        <w:autoSpaceDN w:val="0"/>
        <w:snapToGrid w:val="0"/>
        <w:spacing w:line="360" w:lineRule="auto"/>
        <w:ind w:left="567" w:hanging="567" w:firstLineChars="0"/>
        <w:rPr>
          <w:rFonts w:ascii="宋体" w:hAnsi="宋体"/>
          <w:color w:val="auto"/>
          <w:sz w:val="24"/>
          <w:highlight w:val="none"/>
        </w:rPr>
      </w:pPr>
      <w:r>
        <w:rPr>
          <w:rFonts w:hint="eastAsia" w:ascii="宋体" w:hAnsi="宋体"/>
          <w:color w:val="auto"/>
          <w:sz w:val="24"/>
          <w:highlight w:val="none"/>
        </w:rPr>
        <w:t>投标人应如实提交《综合评分表》要求提交的相关各类证明、资料等并应加盖投标人公章，投标人如未按要求提交的，该项评分为零分。</w:t>
      </w:r>
    </w:p>
    <w:p>
      <w:pPr>
        <w:widowControl/>
        <w:jc w:val="left"/>
        <w:rPr>
          <w:rFonts w:ascii="黑体" w:hAnsi="宋体" w:eastAsia="黑体" w:cs="宋体"/>
          <w:color w:val="auto"/>
          <w:sz w:val="28"/>
          <w:szCs w:val="28"/>
          <w:highlight w:val="none"/>
        </w:rPr>
      </w:pPr>
      <w:bookmarkStart w:id="18" w:name="_Toc435514846"/>
      <w:r>
        <w:rPr>
          <w:rFonts w:ascii="黑体" w:hAnsi="宋体" w:eastAsia="黑体" w:cs="宋体"/>
          <w:color w:val="auto"/>
          <w:sz w:val="28"/>
          <w:szCs w:val="28"/>
          <w:highlight w:val="none"/>
        </w:rPr>
        <w:br w:type="page"/>
      </w:r>
    </w:p>
    <w:p>
      <w:pPr>
        <w:snapToGrid w:val="0"/>
        <w:spacing w:beforeLines="50" w:line="360" w:lineRule="auto"/>
        <w:jc w:val="center"/>
        <w:outlineLvl w:val="3"/>
        <w:rPr>
          <w:rFonts w:ascii="黑体" w:hAnsi="宋体" w:eastAsia="黑体" w:cs="宋体"/>
          <w:color w:val="auto"/>
          <w:sz w:val="28"/>
          <w:szCs w:val="28"/>
          <w:highlight w:val="none"/>
        </w:rPr>
      </w:pPr>
      <w:r>
        <w:rPr>
          <w:rFonts w:hint="eastAsia" w:ascii="黑体" w:hAnsi="宋体" w:eastAsia="黑体" w:cs="宋体"/>
          <w:color w:val="auto"/>
          <w:sz w:val="28"/>
          <w:szCs w:val="28"/>
          <w:highlight w:val="none"/>
        </w:rPr>
        <w:t>资格性审查表（适用于各包组）</w:t>
      </w:r>
    </w:p>
    <w:tbl>
      <w:tblPr>
        <w:tblStyle w:val="16"/>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65"/>
        <w:gridCol w:w="921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8" w:hRule="atLeast"/>
        </w:trPr>
        <w:tc>
          <w:tcPr>
            <w:tcW w:w="518" w:type="pct"/>
            <w:vAlign w:val="center"/>
          </w:tcPr>
          <w:p>
            <w:pPr>
              <w:snapToGrid w:val="0"/>
              <w:spacing w:line="288" w:lineRule="auto"/>
              <w:jc w:val="center"/>
              <w:rPr>
                <w:rFonts w:cs="宋体" w:asciiTheme="minorEastAsia" w:hAnsiTheme="minorEastAsia" w:eastAsiaTheme="minorEastAsia"/>
                <w:b/>
                <w:color w:val="auto"/>
                <w:sz w:val="24"/>
                <w:highlight w:val="none"/>
              </w:rPr>
            </w:pPr>
            <w:r>
              <w:rPr>
                <w:rFonts w:hint="eastAsia" w:cs="宋体" w:asciiTheme="minorEastAsia" w:hAnsiTheme="minorEastAsia" w:eastAsiaTheme="minorEastAsia"/>
                <w:b/>
                <w:color w:val="auto"/>
                <w:sz w:val="24"/>
                <w:highlight w:val="none"/>
              </w:rPr>
              <w:t>序号</w:t>
            </w:r>
          </w:p>
        </w:tc>
        <w:tc>
          <w:tcPr>
            <w:tcW w:w="4481" w:type="pct"/>
            <w:vAlign w:val="center"/>
          </w:tcPr>
          <w:p>
            <w:pPr>
              <w:snapToGrid w:val="0"/>
              <w:spacing w:line="288" w:lineRule="auto"/>
              <w:jc w:val="center"/>
              <w:rPr>
                <w:rFonts w:cs="宋体" w:asciiTheme="minorEastAsia" w:hAnsiTheme="minorEastAsia" w:eastAsiaTheme="minorEastAsia"/>
                <w:b/>
                <w:color w:val="auto"/>
                <w:sz w:val="24"/>
                <w:highlight w:val="none"/>
              </w:rPr>
            </w:pPr>
            <w:r>
              <w:rPr>
                <w:rFonts w:hint="eastAsia" w:cs="宋体" w:asciiTheme="minorEastAsia" w:hAnsiTheme="minorEastAsia" w:eastAsiaTheme="minorEastAsia"/>
                <w:b/>
                <w:color w:val="auto"/>
                <w:sz w:val="24"/>
                <w:highlight w:val="none"/>
              </w:rPr>
              <w:t>评 审 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18" w:type="pct"/>
            <w:vAlign w:val="center"/>
          </w:tcPr>
          <w:p>
            <w:pPr>
              <w:pStyle w:val="24"/>
              <w:numPr>
                <w:ilvl w:val="0"/>
                <w:numId w:val="23"/>
              </w:numPr>
              <w:snapToGrid w:val="0"/>
              <w:spacing w:line="288" w:lineRule="auto"/>
              <w:ind w:left="142" w:leftChars="71" w:firstLine="0" w:firstLineChars="0"/>
              <w:rPr>
                <w:rFonts w:cs="宋体" w:asciiTheme="minorEastAsia" w:hAnsiTheme="minorEastAsia" w:eastAsiaTheme="minorEastAsia"/>
                <w:color w:val="auto"/>
                <w:sz w:val="24"/>
                <w:highlight w:val="none"/>
              </w:rPr>
            </w:pPr>
            <w:r>
              <w:rPr>
                <w:rFonts w:cs="宋体" w:asciiTheme="minorEastAsia" w:hAnsiTheme="minorEastAsia" w:eastAsiaTheme="minorEastAsia"/>
                <w:color w:val="auto"/>
                <w:sz w:val="24"/>
                <w:highlight w:val="none"/>
              </w:rPr>
              <w:t>（一）</w:t>
            </w:r>
          </w:p>
        </w:tc>
        <w:tc>
          <w:tcPr>
            <w:tcW w:w="4481" w:type="pct"/>
            <w:vAlign w:val="center"/>
          </w:tcPr>
          <w:p>
            <w:pPr>
              <w:tabs>
                <w:tab w:val="left" w:pos="612"/>
              </w:tabs>
              <w:snapToGrid w:val="0"/>
              <w:spacing w:line="288" w:lineRule="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具备《中华人民共和国政府采购法》第二十二条、《政府购买服务管理办法》第六条、《国务院办公厅关于政府向社会力量购买服务的指导意见》第三点第（二）项规定的条件：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18" w:type="pct"/>
            <w:vAlign w:val="center"/>
          </w:tcPr>
          <w:p>
            <w:pPr>
              <w:numPr>
                <w:ilvl w:val="0"/>
                <w:numId w:val="24"/>
              </w:numPr>
              <w:tabs>
                <w:tab w:val="left" w:pos="176"/>
                <w:tab w:val="left" w:pos="612"/>
              </w:tabs>
              <w:snapToGrid w:val="0"/>
              <w:spacing w:line="288" w:lineRule="auto"/>
              <w:jc w:val="center"/>
              <w:rPr>
                <w:rFonts w:cs="宋体" w:asciiTheme="minorEastAsia" w:hAnsiTheme="minorEastAsia" w:eastAsiaTheme="minorEastAsia"/>
                <w:color w:val="auto"/>
                <w:sz w:val="24"/>
                <w:highlight w:val="none"/>
              </w:rPr>
            </w:pPr>
          </w:p>
        </w:tc>
        <w:tc>
          <w:tcPr>
            <w:tcW w:w="4481" w:type="pct"/>
            <w:vAlign w:val="center"/>
          </w:tcPr>
          <w:p>
            <w:pPr>
              <w:pStyle w:val="24"/>
              <w:numPr>
                <w:ilvl w:val="0"/>
                <w:numId w:val="25"/>
              </w:numPr>
              <w:tabs>
                <w:tab w:val="left" w:pos="612"/>
              </w:tabs>
              <w:snapToGrid w:val="0"/>
              <w:spacing w:line="288" w:lineRule="auto"/>
              <w:ind w:left="0"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投标人为依法在市场</w:t>
            </w:r>
            <w:r>
              <w:rPr>
                <w:rFonts w:hint="eastAsia" w:cs="宋体" w:asciiTheme="minorEastAsia" w:hAnsiTheme="minorEastAsia" w:eastAsiaTheme="minorEastAsia"/>
                <w:color w:val="auto"/>
                <w:sz w:val="24"/>
                <w:highlight w:val="none"/>
                <w:lang w:eastAsia="zh-CN"/>
              </w:rPr>
              <w:t>监管</w:t>
            </w:r>
            <w:r>
              <w:rPr>
                <w:rFonts w:hint="eastAsia" w:cs="宋体" w:asciiTheme="minorEastAsia" w:hAnsiTheme="minorEastAsia" w:eastAsiaTheme="minorEastAsia"/>
                <w:color w:val="auto"/>
                <w:sz w:val="24"/>
                <w:highlight w:val="none"/>
              </w:rPr>
              <w:t>部门（原工商部门）或行业主管部门登记成立的企业、机构。企业法人,提供企业法人营业执照复印件；</w:t>
            </w:r>
            <w:r>
              <w:rPr>
                <w:rFonts w:cs="宋体" w:asciiTheme="minorEastAsia" w:hAnsiTheme="minorEastAsia" w:eastAsiaTheme="minorEastAsia"/>
                <w:color w:val="auto"/>
                <w:sz w:val="24"/>
                <w:highlight w:val="none"/>
              </w:rPr>
              <w:t>会计师事务所、律师事务所等社会中介机构</w:t>
            </w:r>
            <w:r>
              <w:rPr>
                <w:rFonts w:hint="eastAsia" w:cs="宋体" w:asciiTheme="minorEastAsia" w:hAnsiTheme="minorEastAsia" w:eastAsiaTheme="minorEastAsia"/>
                <w:color w:val="auto"/>
                <w:sz w:val="24"/>
                <w:highlight w:val="none"/>
              </w:rPr>
              <w:t>，提供执业许可证复印件；</w:t>
            </w:r>
          </w:p>
          <w:p>
            <w:pPr>
              <w:pStyle w:val="24"/>
              <w:numPr>
                <w:ilvl w:val="0"/>
                <w:numId w:val="25"/>
              </w:numPr>
              <w:tabs>
                <w:tab w:val="left" w:pos="612"/>
              </w:tabs>
              <w:snapToGrid w:val="0"/>
              <w:spacing w:line="288" w:lineRule="auto"/>
              <w:ind w:left="0"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投标人为公益二类或从事生产经营活动的事业单位，提供事业单位法人证书复印件；</w:t>
            </w:r>
          </w:p>
          <w:p>
            <w:pPr>
              <w:pStyle w:val="24"/>
              <w:numPr>
                <w:ilvl w:val="0"/>
                <w:numId w:val="25"/>
              </w:numPr>
              <w:tabs>
                <w:tab w:val="left" w:pos="612"/>
              </w:tabs>
              <w:snapToGrid w:val="0"/>
              <w:spacing w:line="288" w:lineRule="auto"/>
              <w:ind w:left="0"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投标人为社会组织（不含由财政拨款保障的群团组织），提供社会组织的登记证书或法人登记证书复印件；</w:t>
            </w:r>
          </w:p>
          <w:p>
            <w:pPr>
              <w:pStyle w:val="24"/>
              <w:numPr>
                <w:ilvl w:val="0"/>
                <w:numId w:val="25"/>
              </w:numPr>
              <w:tabs>
                <w:tab w:val="left" w:pos="612"/>
              </w:tabs>
              <w:snapToGrid w:val="0"/>
              <w:spacing w:line="288" w:lineRule="auto"/>
              <w:ind w:left="0"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投标人为农村集体经济组织，提供农村集体经济组织登记证书复印件；</w:t>
            </w:r>
          </w:p>
          <w:p>
            <w:pPr>
              <w:pStyle w:val="24"/>
              <w:numPr>
                <w:ilvl w:val="0"/>
                <w:numId w:val="25"/>
              </w:numPr>
              <w:tabs>
                <w:tab w:val="left" w:pos="612"/>
              </w:tabs>
              <w:snapToGrid w:val="0"/>
              <w:spacing w:line="288" w:lineRule="auto"/>
              <w:ind w:left="0"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投标人为基层群众性自治组织，提供基层群众性自治组织特别法人统一社会信用代码证书复印件；</w:t>
            </w:r>
          </w:p>
          <w:p>
            <w:pPr>
              <w:pStyle w:val="24"/>
              <w:numPr>
                <w:ilvl w:val="0"/>
                <w:numId w:val="25"/>
              </w:numPr>
              <w:tabs>
                <w:tab w:val="left" w:pos="612"/>
              </w:tabs>
              <w:snapToGrid w:val="0"/>
              <w:spacing w:line="288" w:lineRule="auto"/>
              <w:ind w:left="0" w:firstLine="0" w:firstLineChars="0"/>
              <w:rPr>
                <w:rFonts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投标人为自然人，提供</w:t>
            </w:r>
            <w:r>
              <w:rPr>
                <w:rFonts w:hint="eastAsia" w:asciiTheme="minorEastAsia" w:hAnsiTheme="minorEastAsia" w:eastAsiaTheme="minorEastAsia"/>
                <w:color w:val="auto"/>
                <w:sz w:val="24"/>
                <w:highlight w:val="none"/>
              </w:rPr>
              <w:t>自然人身份证明复印件；</w:t>
            </w:r>
          </w:p>
          <w:p>
            <w:pPr>
              <w:pStyle w:val="24"/>
              <w:numPr>
                <w:ilvl w:val="0"/>
                <w:numId w:val="25"/>
              </w:numPr>
              <w:tabs>
                <w:tab w:val="left" w:pos="612"/>
              </w:tabs>
              <w:snapToGrid w:val="0"/>
              <w:spacing w:line="288" w:lineRule="auto"/>
              <w:ind w:left="0"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如国家另有规定的，则从其规定。</w:t>
            </w:r>
          </w:p>
          <w:p>
            <w:pPr>
              <w:pStyle w:val="24"/>
              <w:numPr>
                <w:ilvl w:val="0"/>
                <w:numId w:val="25"/>
              </w:numPr>
              <w:tabs>
                <w:tab w:val="left" w:pos="612"/>
              </w:tabs>
              <w:snapToGrid w:val="0"/>
              <w:spacing w:line="288" w:lineRule="auto"/>
              <w:ind w:left="0" w:firstLine="0" w:firstLineChars="0"/>
              <w:rPr>
                <w:rFonts w:asciiTheme="minorEastAsia" w:hAnsiTheme="minorEastAsia" w:eastAsiaTheme="minorEastAsia"/>
                <w:bCs/>
                <w:color w:val="auto"/>
                <w:sz w:val="24"/>
                <w:highlight w:val="none"/>
              </w:rPr>
            </w:pPr>
            <w:r>
              <w:rPr>
                <w:rFonts w:hint="eastAsia" w:cs="宋体" w:asciiTheme="minorEastAsia" w:hAnsiTheme="minorEastAsia" w:eastAsiaTheme="minorEastAsia"/>
                <w:color w:val="auto"/>
                <w:sz w:val="24"/>
                <w:highlight w:val="none"/>
              </w:rPr>
              <w:t>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18" w:type="pct"/>
            <w:vAlign w:val="center"/>
          </w:tcPr>
          <w:p>
            <w:pPr>
              <w:numPr>
                <w:ilvl w:val="0"/>
                <w:numId w:val="24"/>
              </w:numPr>
              <w:tabs>
                <w:tab w:val="left" w:pos="176"/>
                <w:tab w:val="left" w:pos="612"/>
              </w:tabs>
              <w:snapToGrid w:val="0"/>
              <w:spacing w:line="288" w:lineRule="auto"/>
              <w:jc w:val="center"/>
              <w:rPr>
                <w:rFonts w:cs="宋体" w:asciiTheme="minorEastAsia" w:hAnsiTheme="minorEastAsia" w:eastAsiaTheme="minorEastAsia"/>
                <w:color w:val="auto"/>
                <w:sz w:val="24"/>
                <w:highlight w:val="none"/>
              </w:rPr>
            </w:pPr>
          </w:p>
        </w:tc>
        <w:tc>
          <w:tcPr>
            <w:tcW w:w="4481" w:type="pct"/>
            <w:vAlign w:val="center"/>
          </w:tcPr>
          <w:p>
            <w:pPr>
              <w:tabs>
                <w:tab w:val="left" w:pos="612"/>
              </w:tabs>
              <w:snapToGrid w:val="0"/>
              <w:spacing w:line="288" w:lineRule="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提供</w:t>
            </w:r>
            <w:r>
              <w:rPr>
                <w:rFonts w:hint="eastAsia" w:asciiTheme="minorEastAsia" w:hAnsiTheme="minorEastAsia" w:eastAsiaTheme="minorEastAsia"/>
                <w:color w:val="auto"/>
                <w:sz w:val="24"/>
                <w:highlight w:val="none"/>
              </w:rPr>
              <w:t>具备提供服务所必需的设施、人员和专业技术的能力</w:t>
            </w:r>
            <w:r>
              <w:rPr>
                <w:rFonts w:hint="eastAsia" w:asciiTheme="minorEastAsia" w:hAnsiTheme="minorEastAsia" w:eastAsiaTheme="minorEastAsia"/>
                <w:bCs/>
                <w:color w:val="auto"/>
                <w:sz w:val="24"/>
                <w:highlight w:val="none"/>
              </w:rPr>
              <w:t>的书面声明；（提供《投标人资格声明函》）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18" w:type="pct"/>
            <w:vAlign w:val="center"/>
          </w:tcPr>
          <w:p>
            <w:pPr>
              <w:numPr>
                <w:ilvl w:val="0"/>
                <w:numId w:val="24"/>
              </w:numPr>
              <w:tabs>
                <w:tab w:val="left" w:pos="176"/>
                <w:tab w:val="left" w:pos="612"/>
              </w:tabs>
              <w:snapToGrid w:val="0"/>
              <w:spacing w:line="288" w:lineRule="auto"/>
              <w:jc w:val="center"/>
              <w:rPr>
                <w:rFonts w:cs="宋体" w:asciiTheme="minorEastAsia" w:hAnsiTheme="minorEastAsia" w:eastAsiaTheme="minorEastAsia"/>
                <w:color w:val="auto"/>
                <w:sz w:val="24"/>
                <w:highlight w:val="none"/>
              </w:rPr>
            </w:pPr>
          </w:p>
        </w:tc>
        <w:tc>
          <w:tcPr>
            <w:tcW w:w="4481" w:type="pct"/>
            <w:vAlign w:val="center"/>
          </w:tcPr>
          <w:p>
            <w:pPr>
              <w:tabs>
                <w:tab w:val="left" w:pos="612"/>
              </w:tabs>
              <w:snapToGrid w:val="0"/>
              <w:spacing w:line="288" w:lineRule="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提供</w:t>
            </w:r>
            <w:r>
              <w:rPr>
                <w:rFonts w:hint="eastAsia" w:asciiTheme="minorEastAsia" w:hAnsiTheme="minorEastAsia" w:eastAsiaTheme="minorEastAsia"/>
                <w:bCs/>
                <w:color w:val="auto"/>
                <w:sz w:val="24"/>
                <w:highlight w:val="none"/>
                <w:u w:val="single"/>
              </w:rPr>
              <w:t>2018</w:t>
            </w:r>
            <w:r>
              <w:rPr>
                <w:rFonts w:hint="eastAsia" w:asciiTheme="minorEastAsia" w:hAnsiTheme="minorEastAsia" w:eastAsiaTheme="minorEastAsia"/>
                <w:bCs/>
                <w:color w:val="auto"/>
                <w:sz w:val="24"/>
                <w:highlight w:val="none"/>
              </w:rPr>
              <w:t>年度财务状况报告或</w:t>
            </w:r>
            <w:r>
              <w:rPr>
                <w:rFonts w:hint="eastAsia" w:asciiTheme="minorEastAsia" w:hAnsiTheme="minorEastAsia" w:eastAsiaTheme="minorEastAsia"/>
                <w:bCs/>
                <w:color w:val="auto"/>
                <w:sz w:val="24"/>
                <w:highlight w:val="none"/>
                <w:u w:val="single"/>
              </w:rPr>
              <w:t>2019</w:t>
            </w:r>
            <w:r>
              <w:rPr>
                <w:rFonts w:hint="eastAsia" w:asciiTheme="minorEastAsia" w:hAnsiTheme="minorEastAsia" w:eastAsiaTheme="minorEastAsia"/>
                <w:bCs/>
                <w:color w:val="auto"/>
                <w:sz w:val="24"/>
                <w:highlight w:val="none"/>
              </w:rPr>
              <w:t>年至今任意</w:t>
            </w:r>
            <w:r>
              <w:rPr>
                <w:rFonts w:hint="eastAsia" w:asciiTheme="minorEastAsia" w:hAnsiTheme="minorEastAsia" w:eastAsiaTheme="minorEastAsia"/>
                <w:bCs/>
                <w:color w:val="auto"/>
                <w:sz w:val="24"/>
                <w:highlight w:val="none"/>
                <w:u w:val="single"/>
              </w:rPr>
              <w:t>1</w:t>
            </w:r>
            <w:r>
              <w:rPr>
                <w:rFonts w:hint="eastAsia" w:asciiTheme="minorEastAsia" w:hAnsiTheme="minorEastAsia" w:eastAsiaTheme="minorEastAsia"/>
                <w:bCs/>
                <w:color w:val="auto"/>
                <w:sz w:val="24"/>
                <w:highlight w:val="none"/>
              </w:rPr>
              <w:t>个月的财务状况报告复印件，或银行出具的资信证明材料复印件；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18" w:type="pct"/>
            <w:vAlign w:val="center"/>
          </w:tcPr>
          <w:p>
            <w:pPr>
              <w:numPr>
                <w:ilvl w:val="0"/>
                <w:numId w:val="24"/>
              </w:numPr>
              <w:tabs>
                <w:tab w:val="left" w:pos="176"/>
                <w:tab w:val="left" w:pos="612"/>
              </w:tabs>
              <w:snapToGrid w:val="0"/>
              <w:spacing w:line="288" w:lineRule="auto"/>
              <w:jc w:val="center"/>
              <w:rPr>
                <w:rFonts w:cs="宋体" w:asciiTheme="minorEastAsia" w:hAnsiTheme="minorEastAsia" w:eastAsiaTheme="minorEastAsia"/>
                <w:color w:val="auto"/>
                <w:sz w:val="24"/>
                <w:highlight w:val="none"/>
              </w:rPr>
            </w:pPr>
          </w:p>
        </w:tc>
        <w:tc>
          <w:tcPr>
            <w:tcW w:w="4481" w:type="pct"/>
            <w:vAlign w:val="center"/>
          </w:tcPr>
          <w:p>
            <w:pPr>
              <w:tabs>
                <w:tab w:val="left" w:pos="612"/>
              </w:tabs>
              <w:snapToGrid w:val="0"/>
              <w:spacing w:line="288" w:lineRule="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提供</w:t>
            </w:r>
            <w:r>
              <w:rPr>
                <w:rFonts w:hint="eastAsia" w:asciiTheme="minorEastAsia" w:hAnsiTheme="minorEastAsia" w:eastAsiaTheme="minorEastAsia"/>
                <w:bCs/>
                <w:color w:val="auto"/>
                <w:sz w:val="24"/>
                <w:highlight w:val="none"/>
                <w:u w:val="single"/>
              </w:rPr>
              <w:t>2019</w:t>
            </w:r>
            <w:r>
              <w:rPr>
                <w:rFonts w:hint="eastAsia" w:asciiTheme="minorEastAsia" w:hAnsiTheme="minorEastAsia" w:eastAsiaTheme="minorEastAsia"/>
                <w:bCs/>
                <w:color w:val="auto"/>
                <w:sz w:val="24"/>
                <w:highlight w:val="none"/>
              </w:rPr>
              <w:t>年至今任意</w:t>
            </w:r>
            <w:r>
              <w:rPr>
                <w:rFonts w:hint="eastAsia" w:asciiTheme="minorEastAsia" w:hAnsiTheme="minorEastAsia" w:eastAsiaTheme="minorEastAsia"/>
                <w:bCs/>
                <w:color w:val="auto"/>
                <w:sz w:val="24"/>
                <w:highlight w:val="none"/>
                <w:u w:val="single"/>
              </w:rPr>
              <w:t>1</w:t>
            </w:r>
            <w:r>
              <w:rPr>
                <w:rFonts w:hint="eastAsia" w:asciiTheme="minorEastAsia" w:hAnsiTheme="minorEastAsia" w:eastAsiaTheme="minorEastAsia"/>
                <w:bCs/>
                <w:color w:val="auto"/>
                <w:sz w:val="24"/>
                <w:highlight w:val="none"/>
              </w:rPr>
              <w:t>个月缴纳税收和社会保险的凭据证明材料复印件；如依法免税或不需要缴纳社会保障资金的，应提供相应文件证明；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18" w:type="pct"/>
            <w:vAlign w:val="center"/>
          </w:tcPr>
          <w:p>
            <w:pPr>
              <w:numPr>
                <w:ilvl w:val="0"/>
                <w:numId w:val="24"/>
              </w:numPr>
              <w:tabs>
                <w:tab w:val="left" w:pos="176"/>
                <w:tab w:val="left" w:pos="612"/>
              </w:tabs>
              <w:snapToGrid w:val="0"/>
              <w:spacing w:line="288" w:lineRule="auto"/>
              <w:jc w:val="center"/>
              <w:rPr>
                <w:rFonts w:cs="宋体" w:asciiTheme="minorEastAsia" w:hAnsiTheme="minorEastAsia" w:eastAsiaTheme="minorEastAsia"/>
                <w:color w:val="auto"/>
                <w:sz w:val="24"/>
                <w:highlight w:val="none"/>
              </w:rPr>
            </w:pPr>
          </w:p>
        </w:tc>
        <w:tc>
          <w:tcPr>
            <w:tcW w:w="4481" w:type="pct"/>
            <w:vAlign w:val="center"/>
          </w:tcPr>
          <w:p>
            <w:pPr>
              <w:tabs>
                <w:tab w:val="left" w:pos="612"/>
              </w:tabs>
              <w:snapToGrid w:val="0"/>
              <w:spacing w:line="288" w:lineRule="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提供参加政府采购活动前3年内在经营活动中没有重大违法记录的书面声明；（提供《投标人资格声明函》）。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18" w:type="pct"/>
            <w:vAlign w:val="center"/>
          </w:tcPr>
          <w:p>
            <w:pPr>
              <w:numPr>
                <w:ilvl w:val="0"/>
                <w:numId w:val="24"/>
              </w:numPr>
              <w:tabs>
                <w:tab w:val="left" w:pos="176"/>
                <w:tab w:val="left" w:pos="612"/>
              </w:tabs>
              <w:snapToGrid w:val="0"/>
              <w:spacing w:line="288" w:lineRule="auto"/>
              <w:jc w:val="center"/>
              <w:rPr>
                <w:rFonts w:cs="宋体" w:asciiTheme="minorEastAsia" w:hAnsiTheme="minorEastAsia" w:eastAsiaTheme="minorEastAsia"/>
                <w:color w:val="auto"/>
                <w:sz w:val="24"/>
                <w:highlight w:val="none"/>
              </w:rPr>
            </w:pPr>
          </w:p>
        </w:tc>
        <w:tc>
          <w:tcPr>
            <w:tcW w:w="4481" w:type="pct"/>
            <w:vAlign w:val="center"/>
          </w:tcPr>
          <w:p>
            <w:pPr>
              <w:tabs>
                <w:tab w:val="left" w:pos="612"/>
              </w:tabs>
              <w:snapToGrid w:val="0"/>
              <w:spacing w:line="288" w:lineRule="auto"/>
              <w:rPr>
                <w:rFonts w:asciiTheme="minorEastAsia" w:hAnsiTheme="minorEastAsia" w:eastAsiaTheme="minorEastAsia"/>
                <w:bCs/>
                <w:color w:val="auto"/>
                <w:sz w:val="24"/>
                <w:highlight w:val="none"/>
              </w:rPr>
            </w:pPr>
            <w:r>
              <w:rPr>
                <w:rFonts w:hint="eastAsia" w:asciiTheme="majorEastAsia" w:hAnsiTheme="majorEastAsia" w:eastAsiaTheme="majorEastAsia"/>
                <w:color w:val="auto"/>
                <w:sz w:val="24"/>
                <w:highlight w:val="none"/>
              </w:rPr>
              <w:t>法律、法规规定其他条件。</w:t>
            </w:r>
            <w:r>
              <w:rPr>
                <w:rFonts w:hint="eastAsia" w:asciiTheme="minorEastAsia" w:hAnsiTheme="minorEastAsia" w:eastAsiaTheme="minorEastAsia"/>
                <w:bCs/>
                <w:color w:val="auto"/>
                <w:sz w:val="24"/>
                <w:highlight w:val="none"/>
              </w:rPr>
              <w:t>（提供《投标人资格声明函》）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18" w:type="pct"/>
            <w:vAlign w:val="center"/>
          </w:tcPr>
          <w:p>
            <w:pPr>
              <w:pStyle w:val="24"/>
              <w:numPr>
                <w:ilvl w:val="0"/>
                <w:numId w:val="23"/>
              </w:numPr>
              <w:snapToGrid w:val="0"/>
              <w:spacing w:line="288" w:lineRule="auto"/>
              <w:ind w:left="142" w:leftChars="71" w:firstLine="0" w:firstLineChars="0"/>
              <w:rPr>
                <w:rFonts w:cs="宋体" w:asciiTheme="minorEastAsia" w:hAnsiTheme="minorEastAsia" w:eastAsiaTheme="minorEastAsia"/>
                <w:color w:val="auto"/>
                <w:sz w:val="24"/>
                <w:highlight w:val="none"/>
              </w:rPr>
            </w:pPr>
          </w:p>
        </w:tc>
        <w:tc>
          <w:tcPr>
            <w:tcW w:w="4481" w:type="pct"/>
            <w:vAlign w:val="center"/>
          </w:tcPr>
          <w:p>
            <w:pPr>
              <w:tabs>
                <w:tab w:val="left" w:pos="612"/>
              </w:tabs>
              <w:snapToGrid w:val="0"/>
              <w:spacing w:line="288" w:lineRule="auto"/>
              <w:rPr>
                <w:rFonts w:asciiTheme="minorEastAsia" w:hAnsiTheme="minorEastAsia" w:eastAsiaTheme="minorEastAsia"/>
                <w:color w:val="auto"/>
                <w:sz w:val="24"/>
                <w:highlight w:val="none"/>
              </w:rPr>
            </w:pPr>
            <w:r>
              <w:rPr>
                <w:rFonts w:hint="eastAsia" w:asciiTheme="minorEastAsia" w:hAnsiTheme="minorEastAsia" w:eastAsiaTheme="minorEastAsia"/>
                <w:bCs/>
                <w:color w:val="auto"/>
                <w:sz w:val="24"/>
                <w:highlight w:val="none"/>
              </w:rPr>
              <w:t>为采购项目提供整体设计、规范编制或者项目管理、监理、检测等服务的供应商，不得再参加该采购项目同一合同项下的其他采购活动。（提供《投标人资格声明函》）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18" w:type="pct"/>
            <w:vAlign w:val="center"/>
          </w:tcPr>
          <w:p>
            <w:pPr>
              <w:pStyle w:val="24"/>
              <w:numPr>
                <w:ilvl w:val="0"/>
                <w:numId w:val="23"/>
              </w:numPr>
              <w:snapToGrid w:val="0"/>
              <w:spacing w:line="288" w:lineRule="auto"/>
              <w:ind w:left="142" w:leftChars="71" w:firstLine="0" w:firstLineChars="0"/>
              <w:rPr>
                <w:rFonts w:cs="宋体" w:asciiTheme="minorEastAsia" w:hAnsiTheme="minorEastAsia" w:eastAsiaTheme="minorEastAsia"/>
                <w:color w:val="auto"/>
                <w:sz w:val="24"/>
                <w:highlight w:val="none"/>
              </w:rPr>
            </w:pPr>
          </w:p>
        </w:tc>
        <w:tc>
          <w:tcPr>
            <w:tcW w:w="4481" w:type="pct"/>
            <w:vAlign w:val="center"/>
          </w:tcPr>
          <w:p>
            <w:pPr>
              <w:tabs>
                <w:tab w:val="left" w:pos="612"/>
              </w:tabs>
              <w:snapToGrid w:val="0"/>
              <w:spacing w:line="288" w:lineRule="auto"/>
              <w:rPr>
                <w:rFonts w:asciiTheme="minorEastAsia" w:hAnsiTheme="minorEastAsia" w:eastAsiaTheme="minorEastAsia"/>
                <w:color w:val="auto"/>
                <w:sz w:val="24"/>
                <w:highlight w:val="none"/>
              </w:rPr>
            </w:pPr>
            <w:r>
              <w:rPr>
                <w:rFonts w:hint="eastAsia" w:asciiTheme="minorEastAsia" w:hAnsiTheme="minorEastAsia" w:eastAsiaTheme="minorEastAsia"/>
                <w:bCs/>
                <w:color w:val="auto"/>
                <w:sz w:val="24"/>
                <w:highlight w:val="none"/>
              </w:rPr>
              <w:t>单位负责人为同一人或者存在直接控股、管理关系的不同供应商，不得参加同一合同项下的政府采购活动。（提供《投标人资格声明函》）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18" w:type="pct"/>
            <w:vAlign w:val="center"/>
          </w:tcPr>
          <w:p>
            <w:pPr>
              <w:pStyle w:val="24"/>
              <w:numPr>
                <w:ilvl w:val="0"/>
                <w:numId w:val="23"/>
              </w:numPr>
              <w:snapToGrid w:val="0"/>
              <w:spacing w:line="288" w:lineRule="auto"/>
              <w:ind w:left="142" w:leftChars="71" w:firstLine="0" w:firstLineChars="0"/>
              <w:rPr>
                <w:rFonts w:cs="宋体" w:asciiTheme="minorEastAsia" w:hAnsiTheme="minorEastAsia" w:eastAsiaTheme="minorEastAsia"/>
                <w:color w:val="auto"/>
                <w:sz w:val="24"/>
                <w:highlight w:val="none"/>
              </w:rPr>
            </w:pPr>
          </w:p>
        </w:tc>
        <w:tc>
          <w:tcPr>
            <w:tcW w:w="4481" w:type="pct"/>
            <w:vAlign w:val="center"/>
          </w:tcPr>
          <w:p>
            <w:pPr>
              <w:tabs>
                <w:tab w:val="left" w:pos="567"/>
              </w:tabs>
              <w:snapToGrid w:val="0"/>
              <w:spacing w:line="288" w:lineRule="auto"/>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投标人未被列入“信用中国”网站(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Style w:val="21"/>
                <w:rFonts w:asciiTheme="minorEastAsia" w:hAnsiTheme="minorEastAsia" w:eastAsiaTheme="minorEastAsia"/>
                <w:color w:val="auto"/>
                <w:sz w:val="24"/>
                <w:highlight w:val="none"/>
              </w:rPr>
              <w:t>www.creditchina.gov.cn</w:t>
            </w:r>
            <w:r>
              <w:rPr>
                <w:rStyle w:val="21"/>
                <w:rFonts w:asciiTheme="minorEastAsia" w:hAnsiTheme="minorEastAsia" w:eastAsiaTheme="minorEastAsia"/>
                <w:color w:val="auto"/>
                <w:sz w:val="24"/>
                <w:highlight w:val="none"/>
              </w:rPr>
              <w:fldChar w:fldCharType="end"/>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以下任何记录名单之一：①</w:t>
            </w:r>
            <w:r>
              <w:rPr>
                <w:rFonts w:asciiTheme="minorEastAsia" w:hAnsiTheme="minorEastAsia" w:eastAsiaTheme="minorEastAsia"/>
                <w:color w:val="auto"/>
                <w:sz w:val="24"/>
                <w:highlight w:val="none"/>
              </w:rPr>
              <w:t>失信被执行人</w:t>
            </w:r>
            <w:r>
              <w:rPr>
                <w:rFonts w:hint="eastAsia" w:asciiTheme="minorEastAsia" w:hAnsiTheme="minorEastAsia" w:eastAsiaTheme="minorEastAsia"/>
                <w:color w:val="auto"/>
                <w:sz w:val="24"/>
                <w:highlight w:val="none"/>
              </w:rPr>
              <w:t>；②</w:t>
            </w:r>
            <w:r>
              <w:rPr>
                <w:rFonts w:asciiTheme="minorEastAsia" w:hAnsiTheme="minorEastAsia" w:eastAsiaTheme="minorEastAsia"/>
                <w:color w:val="auto"/>
                <w:sz w:val="24"/>
                <w:highlight w:val="none"/>
              </w:rPr>
              <w:t>重大税收违法案件当事人名单</w:t>
            </w:r>
            <w:r>
              <w:rPr>
                <w:rFonts w:hint="eastAsia" w:asciiTheme="minorEastAsia" w:hAnsiTheme="minorEastAsia" w:eastAsiaTheme="minorEastAsia"/>
                <w:color w:val="auto"/>
                <w:sz w:val="24"/>
                <w:highlight w:val="none"/>
              </w:rPr>
              <w:t>；③</w:t>
            </w:r>
            <w:r>
              <w:rPr>
                <w:rFonts w:asciiTheme="minorEastAsia" w:hAnsiTheme="minorEastAsia" w:eastAsiaTheme="minorEastAsia"/>
                <w:color w:val="auto"/>
                <w:sz w:val="24"/>
                <w:highlight w:val="none"/>
              </w:rPr>
              <w:t>政府采购严重违法失信行为</w:t>
            </w:r>
            <w:r>
              <w:rPr>
                <w:rFonts w:hint="eastAsia" w:asciiTheme="minorEastAsia" w:hAnsiTheme="minorEastAsia" w:eastAsiaTheme="minorEastAsia"/>
                <w:color w:val="auto"/>
                <w:sz w:val="24"/>
                <w:highlight w:val="none"/>
              </w:rPr>
              <w:t>。同时，</w:t>
            </w:r>
            <w:r>
              <w:rPr>
                <w:rFonts w:asciiTheme="minorEastAsia" w:hAnsiTheme="minorEastAsia" w:eastAsiaTheme="minorEastAsia"/>
                <w:color w:val="auto"/>
                <w:sz w:val="24"/>
                <w:highlight w:val="none"/>
              </w:rPr>
              <w:t>不处于中国政府采购网(www.ccgp.gov.cn)“政府采购严重违法失信行为信息记录”中的禁止参加政府采购活动期间。（</w:t>
            </w:r>
            <w:r>
              <w:rPr>
                <w:rFonts w:hint="eastAsia" w:cs="宋体" w:asciiTheme="minorEastAsia" w:hAnsiTheme="minorEastAsia" w:eastAsiaTheme="minorEastAsia"/>
                <w:color w:val="auto"/>
                <w:sz w:val="24"/>
                <w:highlight w:val="none"/>
              </w:rPr>
              <w:t>说明：</w:t>
            </w:r>
            <w:r>
              <w:rPr>
                <w:rFonts w:hint="eastAsia" w:asciiTheme="minorEastAsia" w:hAnsiTheme="minorEastAsia" w:eastAsiaTheme="minorEastAsia"/>
                <w:color w:val="auto"/>
                <w:sz w:val="24"/>
                <w:highlight w:val="none"/>
              </w:rPr>
              <w:t>①由</w:t>
            </w:r>
            <w:r>
              <w:rPr>
                <w:rFonts w:hint="eastAsia" w:ascii="宋体" w:hAnsi="宋体"/>
                <w:color w:val="auto"/>
                <w:sz w:val="24"/>
                <w:szCs w:val="21"/>
                <w:highlight w:val="none"/>
              </w:rPr>
              <w:t>采购人、采购代理机构</w:t>
            </w:r>
            <w:r>
              <w:rPr>
                <w:rFonts w:asciiTheme="minorEastAsia" w:hAnsiTheme="minorEastAsia" w:eastAsiaTheme="minorEastAsia"/>
                <w:color w:val="auto"/>
                <w:sz w:val="24"/>
                <w:highlight w:val="none"/>
              </w:rPr>
              <w:t>于</w:t>
            </w:r>
            <w:r>
              <w:rPr>
                <w:rFonts w:hint="eastAsia" w:asciiTheme="minorEastAsia" w:hAnsiTheme="minorEastAsia" w:eastAsiaTheme="minorEastAsia"/>
                <w:color w:val="auto"/>
                <w:sz w:val="24"/>
                <w:highlight w:val="none"/>
              </w:rPr>
              <w:t>投标截止日</w:t>
            </w:r>
            <w:r>
              <w:rPr>
                <w:rFonts w:asciiTheme="minorEastAsia" w:hAnsiTheme="minorEastAsia" w:eastAsiaTheme="minorEastAsia"/>
                <w:color w:val="auto"/>
                <w:sz w:val="24"/>
                <w:highlight w:val="none"/>
              </w:rPr>
              <w:t>在“信用中国”网站（www.creditchina.gov.cn）及中国政府采购网(www.ccgp.gov.cn)查询结果为准</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如在上述网站查询结果均显示没有相关记录，视为</w:t>
            </w:r>
            <w:r>
              <w:rPr>
                <w:rFonts w:hint="eastAsia" w:asciiTheme="minorEastAsia" w:hAnsiTheme="minorEastAsia" w:eastAsiaTheme="minorEastAsia"/>
                <w:color w:val="auto"/>
                <w:sz w:val="24"/>
                <w:highlight w:val="none"/>
              </w:rPr>
              <w:t>不存在</w:t>
            </w:r>
            <w:r>
              <w:rPr>
                <w:rFonts w:asciiTheme="minorEastAsia" w:hAnsiTheme="minorEastAsia" w:eastAsiaTheme="minorEastAsia"/>
                <w:color w:val="auto"/>
                <w:sz w:val="24"/>
                <w:highlight w:val="none"/>
              </w:rPr>
              <w:t>上述不良信用记录。</w:t>
            </w:r>
            <w:r>
              <w:rPr>
                <w:rFonts w:hint="eastAsia" w:asciiTheme="minorEastAsia" w:hAnsiTheme="minorEastAsia" w:eastAsiaTheme="minorEastAsia"/>
                <w:color w:val="auto"/>
                <w:sz w:val="24"/>
                <w:highlight w:val="none"/>
              </w:rPr>
              <w:t>②</w:t>
            </w:r>
            <w:r>
              <w:rPr>
                <w:rFonts w:hint="eastAsia" w:cs="宋体" w:asciiTheme="minorEastAsia" w:hAnsiTheme="minorEastAsia" w:eastAsiaTheme="minorEastAsia"/>
                <w:color w:val="auto"/>
                <w:sz w:val="24"/>
                <w:highlight w:val="none"/>
              </w:rPr>
              <w:t>采购代理机构同时对信用信息查询记录和证据截图或下载存档</w:t>
            </w:r>
            <w:r>
              <w:rPr>
                <w:rFonts w:hint="eastAsia" w:asciiTheme="minorEastAsia" w:hAnsiTheme="minorEastAsia" w:eastAsiaTheme="minorEastAsia"/>
                <w:color w:val="auto"/>
                <w:sz w:val="24"/>
                <w:highlight w:val="none"/>
              </w:rPr>
              <w:t>；③</w:t>
            </w:r>
            <w:r>
              <w:rPr>
                <w:rFonts w:hint="eastAsia" w:hAnsiTheme="minorEastAsia" w:eastAsiaTheme="minorEastAsia"/>
                <w:color w:val="auto"/>
                <w:sz w:val="24"/>
                <w:highlight w:val="none"/>
              </w:rPr>
              <w:t>投标人为分支机构的，同时对该分支机构所属</w:t>
            </w:r>
            <w:r>
              <w:rPr>
                <w:rFonts w:hint="eastAsia" w:cs="黑体" w:hAnsiTheme="minorEastAsia" w:eastAsiaTheme="minorEastAsia"/>
                <w:color w:val="auto"/>
                <w:sz w:val="24"/>
                <w:highlight w:val="none"/>
              </w:rPr>
              <w:t>总公司</w:t>
            </w:r>
            <w:r>
              <w:rPr>
                <w:rStyle w:val="23"/>
                <w:rFonts w:hint="eastAsia" w:hAnsiTheme="minorEastAsia" w:eastAsiaTheme="minorEastAsia"/>
                <w:color w:val="auto"/>
                <w:sz w:val="24"/>
                <w:szCs w:val="24"/>
                <w:highlight w:val="none"/>
              </w:rPr>
              <w:t>（总所）进行信用记录查询，</w:t>
            </w:r>
            <w:r>
              <w:rPr>
                <w:rFonts w:hint="eastAsia" w:hAnsiTheme="minorEastAsia" w:eastAsiaTheme="minorEastAsia"/>
                <w:color w:val="auto"/>
                <w:sz w:val="24"/>
                <w:highlight w:val="none"/>
              </w:rPr>
              <w:t>该分支机构所属</w:t>
            </w:r>
            <w:r>
              <w:rPr>
                <w:rFonts w:hint="eastAsia" w:cs="黑体" w:hAnsiTheme="minorEastAsia" w:eastAsiaTheme="minorEastAsia"/>
                <w:color w:val="auto"/>
                <w:sz w:val="24"/>
                <w:highlight w:val="none"/>
              </w:rPr>
              <w:t>总公司</w:t>
            </w:r>
            <w:r>
              <w:rPr>
                <w:rStyle w:val="23"/>
                <w:rFonts w:hint="eastAsia" w:hAnsiTheme="minorEastAsia" w:eastAsiaTheme="minorEastAsia"/>
                <w:color w:val="auto"/>
                <w:sz w:val="24"/>
                <w:szCs w:val="24"/>
                <w:highlight w:val="none"/>
              </w:rPr>
              <w:t>（总所）</w:t>
            </w:r>
            <w:r>
              <w:rPr>
                <w:rFonts w:hAnsiTheme="minorEastAsia" w:eastAsiaTheme="minorEastAsia"/>
                <w:color w:val="auto"/>
                <w:sz w:val="24"/>
                <w:highlight w:val="none"/>
              </w:rPr>
              <w:t>存在</w:t>
            </w:r>
            <w:r>
              <w:rPr>
                <w:rFonts w:hint="eastAsia" w:hAnsiTheme="minorEastAsia" w:eastAsiaTheme="minorEastAsia"/>
                <w:color w:val="auto"/>
                <w:sz w:val="24"/>
                <w:highlight w:val="none"/>
              </w:rPr>
              <w:t>不良信用</w:t>
            </w:r>
            <w:r>
              <w:rPr>
                <w:rFonts w:hAnsiTheme="minorEastAsia" w:eastAsiaTheme="minorEastAsia"/>
                <w:color w:val="auto"/>
                <w:sz w:val="24"/>
                <w:highlight w:val="none"/>
              </w:rPr>
              <w:t>记录的</w:t>
            </w:r>
            <w:r>
              <w:rPr>
                <w:rFonts w:hint="eastAsia" w:hAnsiTheme="minorEastAsia" w:eastAsiaTheme="minorEastAsia"/>
                <w:color w:val="auto"/>
                <w:sz w:val="24"/>
                <w:highlight w:val="none"/>
              </w:rPr>
              <w:t>，视同供应商存在不良信用记录</w:t>
            </w:r>
            <w:r>
              <w:rPr>
                <w:rFonts w:hAnsiTheme="minorEastAsia" w:eastAsiaTheme="minorEastAsia"/>
                <w:color w:val="auto"/>
                <w:sz w:val="24"/>
                <w:highlight w:val="none"/>
              </w:rPr>
              <w:t>。</w:t>
            </w:r>
            <w:r>
              <w:rPr>
                <w:rFonts w:hint="eastAsia" w:asciiTheme="minorEastAsia" w:hAnsiTheme="minorEastAsia" w:eastAsiaTheme="minorEastAsia"/>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18" w:type="pct"/>
            <w:vAlign w:val="center"/>
          </w:tcPr>
          <w:p>
            <w:pPr>
              <w:pStyle w:val="24"/>
              <w:numPr>
                <w:ilvl w:val="0"/>
                <w:numId w:val="23"/>
              </w:numPr>
              <w:snapToGrid w:val="0"/>
              <w:spacing w:line="288" w:lineRule="auto"/>
              <w:ind w:left="142" w:leftChars="71" w:firstLine="0" w:firstLineChars="0"/>
              <w:rPr>
                <w:rFonts w:cs="宋体" w:asciiTheme="minorEastAsia" w:hAnsiTheme="minorEastAsia" w:eastAsiaTheme="minorEastAsia"/>
                <w:color w:val="auto"/>
                <w:sz w:val="24"/>
                <w:highlight w:val="none"/>
              </w:rPr>
            </w:pPr>
          </w:p>
        </w:tc>
        <w:tc>
          <w:tcPr>
            <w:tcW w:w="4481" w:type="pct"/>
            <w:vAlign w:val="center"/>
          </w:tcPr>
          <w:p>
            <w:pPr>
              <w:tabs>
                <w:tab w:val="left" w:pos="567"/>
              </w:tabs>
              <w:snapToGrid w:val="0"/>
              <w:spacing w:line="288"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（适用于包组一） 投标人必须具有下列证书（需提供证书复印件加盖投标人公章）（如国家另有规定，则适用其规定）：</w:t>
            </w:r>
          </w:p>
          <w:p>
            <w:pPr>
              <w:tabs>
                <w:tab w:val="left" w:pos="567"/>
              </w:tabs>
              <w:snapToGrid w:val="0"/>
              <w:spacing w:line="288"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1.具有有效期内的《农产品质量安全检测机构考核合格证书》CATL证书；</w:t>
            </w:r>
          </w:p>
          <w:p>
            <w:pPr>
              <w:tabs>
                <w:tab w:val="left" w:pos="567"/>
              </w:tabs>
              <w:snapToGrid w:val="0"/>
              <w:spacing w:line="288" w:lineRule="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有效期内的《食品检验机构资质认定》CMAF证书或《检测检验机构资质认定》CMA证书</w:t>
            </w:r>
            <w:r>
              <w:rPr>
                <w:rFonts w:hint="eastAsia" w:asciiTheme="minorEastAsia" w:hAnsiTheme="minorEastAsia" w:eastAsiaTheme="minorEastAsia"/>
                <w:color w:val="auto"/>
                <w:sz w:val="24"/>
                <w:highlight w:val="none"/>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18" w:type="pct"/>
            <w:vAlign w:val="center"/>
          </w:tcPr>
          <w:p>
            <w:pPr>
              <w:pStyle w:val="24"/>
              <w:numPr>
                <w:ilvl w:val="0"/>
                <w:numId w:val="23"/>
              </w:numPr>
              <w:snapToGrid w:val="0"/>
              <w:spacing w:line="288" w:lineRule="auto"/>
              <w:ind w:left="142" w:leftChars="71" w:firstLine="0" w:firstLineChars="0"/>
              <w:rPr>
                <w:rFonts w:cs="宋体" w:asciiTheme="minorEastAsia" w:hAnsiTheme="minorEastAsia" w:eastAsiaTheme="minorEastAsia"/>
                <w:color w:val="auto"/>
                <w:sz w:val="24"/>
                <w:highlight w:val="none"/>
              </w:rPr>
            </w:pPr>
          </w:p>
        </w:tc>
        <w:tc>
          <w:tcPr>
            <w:tcW w:w="4481" w:type="pct"/>
            <w:vAlign w:val="center"/>
          </w:tcPr>
          <w:p>
            <w:pPr>
              <w:pStyle w:val="24"/>
              <w:numPr>
                <w:ilvl w:val="0"/>
                <w:numId w:val="0"/>
              </w:numPr>
              <w:tabs>
                <w:tab w:val="left" w:pos="567"/>
              </w:tabs>
              <w:snapToGrid w:val="0"/>
              <w:spacing w:line="360" w:lineRule="auto"/>
              <w:ind w:leftChars="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lang w:eastAsia="zh-CN"/>
              </w:rPr>
              <w:t>（适用于包组二、三、四）</w:t>
            </w:r>
            <w:r>
              <w:rPr>
                <w:rFonts w:hint="eastAsia" w:asciiTheme="minorEastAsia" w:hAnsiTheme="minorEastAsia" w:eastAsiaTheme="minorEastAsia"/>
                <w:bCs/>
                <w:color w:val="auto"/>
                <w:sz w:val="24"/>
                <w:highlight w:val="none"/>
              </w:rPr>
              <w:t>投标人必须具有下列证书之一（需提供证书复印件加盖投标人公章）（如国家另有规定，则适用其规定）：</w:t>
            </w:r>
          </w:p>
          <w:p>
            <w:pPr>
              <w:pStyle w:val="24"/>
              <w:numPr>
                <w:ilvl w:val="0"/>
                <w:numId w:val="0"/>
              </w:numPr>
              <w:tabs>
                <w:tab w:val="left" w:pos="400"/>
              </w:tabs>
              <w:snapToGrid w:val="0"/>
              <w:spacing w:line="360" w:lineRule="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lang w:val="en-US" w:eastAsia="zh-CN"/>
              </w:rPr>
              <w:t>1.</w:t>
            </w:r>
            <w:r>
              <w:rPr>
                <w:rFonts w:hint="eastAsia" w:asciiTheme="minorEastAsia" w:hAnsiTheme="minorEastAsia" w:eastAsiaTheme="minorEastAsia"/>
                <w:bCs/>
                <w:color w:val="auto"/>
                <w:sz w:val="24"/>
                <w:highlight w:val="none"/>
              </w:rPr>
              <w:t>有效期内的《食品检验机构资质认定》CMAF证书；</w:t>
            </w:r>
          </w:p>
          <w:p>
            <w:pPr>
              <w:pStyle w:val="24"/>
              <w:numPr>
                <w:ilvl w:val="0"/>
                <w:numId w:val="0"/>
              </w:numPr>
              <w:tabs>
                <w:tab w:val="left" w:pos="400"/>
              </w:tabs>
              <w:snapToGrid w:val="0"/>
              <w:spacing w:line="360" w:lineRule="auto"/>
              <w:rPr>
                <w:rFonts w:hint="eastAsia" w:asciiTheme="minorEastAsia" w:hAnsiTheme="minorEastAsia" w:eastAsiaTheme="minorEastAsia"/>
                <w:bCs/>
                <w:color w:val="auto"/>
                <w:sz w:val="24"/>
                <w:highlight w:val="none"/>
                <w:lang w:eastAsia="zh-CN"/>
              </w:rPr>
            </w:pPr>
            <w:r>
              <w:rPr>
                <w:rFonts w:hint="eastAsia" w:asciiTheme="minorEastAsia" w:hAnsiTheme="minorEastAsia" w:eastAsiaTheme="minorEastAsia"/>
                <w:bCs/>
                <w:color w:val="auto"/>
                <w:sz w:val="24"/>
                <w:highlight w:val="none"/>
                <w:lang w:val="en-US" w:eastAsia="zh-CN"/>
              </w:rPr>
              <w:t>2.</w:t>
            </w:r>
            <w:r>
              <w:rPr>
                <w:rFonts w:hint="eastAsia" w:asciiTheme="minorEastAsia" w:hAnsiTheme="minorEastAsia" w:eastAsiaTheme="minorEastAsia"/>
                <w:bCs/>
                <w:color w:val="auto"/>
                <w:sz w:val="24"/>
                <w:highlight w:val="none"/>
              </w:rPr>
              <w:t>有效期内的《检测检验机构资质认定》CMA证书</w:t>
            </w:r>
            <w:r>
              <w:rPr>
                <w:rFonts w:hint="eastAsia" w:asciiTheme="minorEastAsia" w:hAnsiTheme="minorEastAsia" w:eastAsiaTheme="minorEastAsia"/>
                <w:bCs/>
                <w:color w:val="auto"/>
                <w:sz w:val="24"/>
                <w:highlight w:val="none"/>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18" w:type="pct"/>
            <w:vAlign w:val="center"/>
          </w:tcPr>
          <w:p>
            <w:pPr>
              <w:pStyle w:val="24"/>
              <w:numPr>
                <w:ilvl w:val="0"/>
                <w:numId w:val="23"/>
              </w:numPr>
              <w:snapToGrid w:val="0"/>
              <w:spacing w:line="288" w:lineRule="auto"/>
              <w:ind w:left="142" w:leftChars="71" w:firstLine="0" w:firstLineChars="0"/>
              <w:rPr>
                <w:rFonts w:cs="宋体" w:asciiTheme="minorEastAsia" w:hAnsiTheme="minorEastAsia" w:eastAsiaTheme="minorEastAsia"/>
                <w:color w:val="auto"/>
                <w:sz w:val="24"/>
                <w:highlight w:val="none"/>
              </w:rPr>
            </w:pPr>
          </w:p>
        </w:tc>
        <w:tc>
          <w:tcPr>
            <w:tcW w:w="4481" w:type="pct"/>
            <w:vAlign w:val="center"/>
          </w:tcPr>
          <w:p>
            <w:pPr>
              <w:pStyle w:val="24"/>
              <w:tabs>
                <w:tab w:val="left" w:pos="567"/>
              </w:tabs>
              <w:snapToGrid w:val="0"/>
              <w:spacing w:line="360" w:lineRule="auto"/>
              <w:ind w:firstLine="0" w:firstLineChars="0"/>
              <w:rPr>
                <w:rFonts w:asciiTheme="minorEastAsia" w:hAnsiTheme="minorEastAsia" w:eastAsiaTheme="minorEastAsia"/>
                <w:color w:val="auto"/>
                <w:sz w:val="24"/>
                <w:highlight w:val="none"/>
              </w:rPr>
            </w:pPr>
            <w:r>
              <w:rPr>
                <w:rFonts w:hint="eastAsia" w:asciiTheme="minorEastAsia" w:hAnsiTheme="minorEastAsia" w:eastAsiaTheme="minorEastAsia"/>
                <w:bCs/>
                <w:color w:val="auto"/>
                <w:sz w:val="24"/>
                <w:highlight w:val="none"/>
              </w:rPr>
              <w:t>成功报名并下载本招标文件的供应商。（提供《标书下载回执》）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18" w:type="pct"/>
            <w:vAlign w:val="center"/>
          </w:tcPr>
          <w:p>
            <w:pPr>
              <w:pStyle w:val="24"/>
              <w:numPr>
                <w:ilvl w:val="0"/>
                <w:numId w:val="23"/>
              </w:numPr>
              <w:snapToGrid w:val="0"/>
              <w:spacing w:line="288" w:lineRule="auto"/>
              <w:ind w:left="142" w:leftChars="71" w:firstLine="0" w:firstLineChars="0"/>
              <w:rPr>
                <w:rFonts w:cs="宋体" w:asciiTheme="minorEastAsia" w:hAnsiTheme="minorEastAsia" w:eastAsiaTheme="minorEastAsia"/>
                <w:color w:val="auto"/>
                <w:sz w:val="24"/>
                <w:highlight w:val="none"/>
              </w:rPr>
            </w:pPr>
          </w:p>
        </w:tc>
        <w:tc>
          <w:tcPr>
            <w:tcW w:w="4481" w:type="pct"/>
            <w:vAlign w:val="center"/>
          </w:tcPr>
          <w:p>
            <w:pPr>
              <w:tabs>
                <w:tab w:val="left" w:pos="612"/>
              </w:tabs>
              <w:snapToGrid w:val="0"/>
              <w:spacing w:line="288" w:lineRule="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本项目</w:t>
            </w:r>
            <w:r>
              <w:rPr>
                <w:rFonts w:hint="eastAsia" w:asciiTheme="minorEastAsia" w:hAnsiTheme="minorEastAsia" w:eastAsiaTheme="minorEastAsia"/>
                <w:bCs/>
                <w:color w:val="auto"/>
                <w:sz w:val="24"/>
                <w:highlight w:val="none"/>
                <w:u w:val="single"/>
              </w:rPr>
              <w:t>不</w:t>
            </w:r>
            <w:r>
              <w:rPr>
                <w:rFonts w:hint="eastAsia" w:asciiTheme="minorEastAsia" w:hAnsiTheme="minorEastAsia" w:eastAsiaTheme="minorEastAsia"/>
                <w:bCs/>
                <w:color w:val="auto"/>
                <w:sz w:val="24"/>
                <w:highlight w:val="none"/>
              </w:rPr>
              <w:t>接受联合体投标。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18" w:type="pct"/>
            <w:vAlign w:val="center"/>
          </w:tcPr>
          <w:p>
            <w:pPr>
              <w:pStyle w:val="24"/>
              <w:numPr>
                <w:ilvl w:val="0"/>
                <w:numId w:val="23"/>
              </w:numPr>
              <w:snapToGrid w:val="0"/>
              <w:spacing w:line="288" w:lineRule="auto"/>
              <w:ind w:left="142" w:leftChars="71" w:firstLine="0" w:firstLineChars="0"/>
              <w:rPr>
                <w:rFonts w:cs="宋体" w:asciiTheme="minorEastAsia" w:hAnsiTheme="minorEastAsia" w:eastAsiaTheme="minorEastAsia"/>
                <w:color w:val="auto"/>
                <w:sz w:val="24"/>
                <w:highlight w:val="none"/>
              </w:rPr>
            </w:pPr>
          </w:p>
        </w:tc>
        <w:tc>
          <w:tcPr>
            <w:tcW w:w="4481" w:type="pct"/>
            <w:vAlign w:val="center"/>
          </w:tcPr>
          <w:p>
            <w:pPr>
              <w:tabs>
                <w:tab w:val="left" w:pos="612"/>
              </w:tabs>
              <w:snapToGrid w:val="0"/>
              <w:spacing w:line="288" w:lineRule="auto"/>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投标人资格声明函已提交并符合招标文件要求的；</w:t>
            </w:r>
          </w:p>
        </w:tc>
      </w:tr>
    </w:tbl>
    <w:p>
      <w:pPr>
        <w:snapToGrid w:val="0"/>
        <w:spacing w:beforeLines="50" w:line="360" w:lineRule="auto"/>
        <w:jc w:val="center"/>
        <w:outlineLvl w:val="3"/>
        <w:rPr>
          <w:rFonts w:ascii="黑体" w:hAnsi="宋体" w:eastAsia="黑体" w:cs="宋体"/>
          <w:color w:val="auto"/>
          <w:sz w:val="28"/>
          <w:szCs w:val="28"/>
          <w:highlight w:val="none"/>
        </w:rPr>
        <w:sectPr>
          <w:footerReference r:id="rId10" w:type="first"/>
          <w:headerReference r:id="rId8" w:type="default"/>
          <w:footerReference r:id="rId9" w:type="default"/>
          <w:pgSz w:w="11906" w:h="16838"/>
          <w:pgMar w:top="1440" w:right="849" w:bottom="1440" w:left="993" w:header="851" w:footer="992" w:gutter="0"/>
          <w:cols w:space="720" w:num="1"/>
          <w:docGrid w:type="lines" w:linePitch="312" w:charSpace="0"/>
        </w:sectPr>
      </w:pPr>
    </w:p>
    <w:p>
      <w:pPr>
        <w:snapToGrid w:val="0"/>
        <w:spacing w:beforeLines="50" w:line="360" w:lineRule="auto"/>
        <w:jc w:val="center"/>
        <w:outlineLvl w:val="3"/>
        <w:rPr>
          <w:rFonts w:ascii="黑体" w:hAnsi="宋体" w:eastAsia="黑体" w:cs="宋体"/>
          <w:color w:val="auto"/>
          <w:sz w:val="28"/>
          <w:szCs w:val="28"/>
          <w:highlight w:val="none"/>
        </w:rPr>
      </w:pPr>
      <w:r>
        <w:rPr>
          <w:rFonts w:hint="eastAsia" w:ascii="黑体" w:hAnsi="宋体" w:eastAsia="黑体" w:cs="宋体"/>
          <w:color w:val="auto"/>
          <w:sz w:val="28"/>
          <w:szCs w:val="28"/>
          <w:highlight w:val="none"/>
        </w:rPr>
        <w:t>符合性审查表（适用于各包组）</w:t>
      </w:r>
    </w:p>
    <w:tbl>
      <w:tblPr>
        <w:tblStyle w:val="16"/>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74"/>
        <w:gridCol w:w="910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7" w:hRule="atLeast"/>
        </w:trPr>
        <w:tc>
          <w:tcPr>
            <w:tcW w:w="571" w:type="pct"/>
            <w:vAlign w:val="center"/>
          </w:tcPr>
          <w:p>
            <w:pPr>
              <w:jc w:val="center"/>
              <w:rPr>
                <w:rFonts w:ascii="宋体" w:cs="宋体"/>
                <w:b/>
                <w:color w:val="auto"/>
                <w:sz w:val="24"/>
                <w:highlight w:val="none"/>
              </w:rPr>
            </w:pPr>
            <w:r>
              <w:rPr>
                <w:rFonts w:hint="eastAsia" w:ascii="宋体" w:cs="宋体"/>
                <w:b/>
                <w:color w:val="auto"/>
                <w:sz w:val="24"/>
                <w:highlight w:val="none"/>
              </w:rPr>
              <w:t>序号</w:t>
            </w:r>
          </w:p>
        </w:tc>
        <w:tc>
          <w:tcPr>
            <w:tcW w:w="4428" w:type="pct"/>
            <w:vAlign w:val="center"/>
          </w:tcPr>
          <w:p>
            <w:pPr>
              <w:jc w:val="center"/>
              <w:rPr>
                <w:rFonts w:ascii="宋体" w:cs="宋体"/>
                <w:b/>
                <w:color w:val="auto"/>
                <w:sz w:val="24"/>
                <w:highlight w:val="none"/>
              </w:rPr>
            </w:pPr>
            <w:r>
              <w:rPr>
                <w:rFonts w:hint="eastAsia" w:ascii="宋体" w:hAnsi="宋体" w:cs="宋体"/>
                <w:b/>
                <w:color w:val="auto"/>
                <w:sz w:val="24"/>
                <w:highlight w:val="none"/>
              </w:rPr>
              <w:t>评 审 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61" w:hRule="atLeast"/>
        </w:trPr>
        <w:tc>
          <w:tcPr>
            <w:tcW w:w="571" w:type="pct"/>
            <w:vAlign w:val="center"/>
          </w:tcPr>
          <w:p>
            <w:pPr>
              <w:numPr>
                <w:ilvl w:val="0"/>
                <w:numId w:val="26"/>
              </w:numPr>
              <w:tabs>
                <w:tab w:val="left" w:pos="176"/>
                <w:tab w:val="left" w:pos="612"/>
              </w:tabs>
              <w:jc w:val="center"/>
              <w:rPr>
                <w:rFonts w:ascii="宋体" w:hAnsi="宋体" w:cs="宋体"/>
                <w:color w:val="auto"/>
                <w:sz w:val="24"/>
                <w:highlight w:val="none"/>
              </w:rPr>
            </w:pPr>
          </w:p>
        </w:tc>
        <w:tc>
          <w:tcPr>
            <w:tcW w:w="4428" w:type="pct"/>
            <w:vAlign w:val="center"/>
          </w:tcPr>
          <w:p>
            <w:pPr>
              <w:tabs>
                <w:tab w:val="left" w:pos="612"/>
              </w:tabs>
              <w:rPr>
                <w:rFonts w:ascii="宋体" w:hAnsi="宋体" w:cs="宋体"/>
                <w:color w:val="auto"/>
                <w:sz w:val="24"/>
                <w:highlight w:val="none"/>
              </w:rPr>
            </w:pPr>
            <w:r>
              <w:rPr>
                <w:rFonts w:hint="eastAsia" w:ascii="宋体" w:hAnsi="宋体" w:cs="宋体"/>
                <w:color w:val="auto"/>
                <w:sz w:val="24"/>
                <w:highlight w:val="none"/>
              </w:rPr>
              <w:t>按照招标文件规定要求签署、盖章且投标文件有法定代表人签字或盖个人名章（或签字人有法定代表人有效授权书）的；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85" w:hRule="atLeast"/>
        </w:trPr>
        <w:tc>
          <w:tcPr>
            <w:tcW w:w="571" w:type="pct"/>
            <w:vAlign w:val="center"/>
          </w:tcPr>
          <w:p>
            <w:pPr>
              <w:numPr>
                <w:ilvl w:val="0"/>
                <w:numId w:val="26"/>
              </w:numPr>
              <w:tabs>
                <w:tab w:val="left" w:pos="176"/>
                <w:tab w:val="left" w:pos="612"/>
              </w:tabs>
              <w:jc w:val="center"/>
              <w:rPr>
                <w:rFonts w:ascii="宋体" w:hAnsi="宋体" w:cs="宋体"/>
                <w:color w:val="auto"/>
                <w:sz w:val="24"/>
                <w:highlight w:val="none"/>
              </w:rPr>
            </w:pPr>
          </w:p>
        </w:tc>
        <w:tc>
          <w:tcPr>
            <w:tcW w:w="4428" w:type="pct"/>
            <w:vAlign w:val="center"/>
          </w:tcPr>
          <w:p>
            <w:pPr>
              <w:tabs>
                <w:tab w:val="left" w:pos="612"/>
              </w:tabs>
              <w:rPr>
                <w:rFonts w:ascii="宋体" w:hAnsi="宋体" w:cs="宋体"/>
                <w:color w:val="auto"/>
                <w:sz w:val="24"/>
                <w:highlight w:val="none"/>
              </w:rPr>
            </w:pPr>
            <w:r>
              <w:rPr>
                <w:rFonts w:hint="eastAsia" w:ascii="宋体" w:hAnsi="宋体" w:cs="宋体"/>
                <w:color w:val="auto"/>
                <w:sz w:val="24"/>
                <w:highlight w:val="none"/>
              </w:rPr>
              <w:t>投标函已提交并符合招标文件要求的，且</w:t>
            </w:r>
            <w:r>
              <w:rPr>
                <w:rFonts w:hint="eastAsia" w:ascii="宋体" w:hAnsi="宋体"/>
                <w:color w:val="auto"/>
                <w:sz w:val="24"/>
                <w:highlight w:val="none"/>
              </w:rPr>
              <w:t>投标有效期不少于招标文件中载明的投标有效期；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3" w:hRule="atLeast"/>
        </w:trPr>
        <w:tc>
          <w:tcPr>
            <w:tcW w:w="571" w:type="pct"/>
            <w:vAlign w:val="center"/>
          </w:tcPr>
          <w:p>
            <w:pPr>
              <w:numPr>
                <w:ilvl w:val="0"/>
                <w:numId w:val="26"/>
              </w:numPr>
              <w:tabs>
                <w:tab w:val="left" w:pos="176"/>
                <w:tab w:val="left" w:pos="612"/>
              </w:tabs>
              <w:jc w:val="center"/>
              <w:rPr>
                <w:rFonts w:ascii="宋体" w:hAnsi="宋体" w:cs="宋体"/>
                <w:color w:val="auto"/>
                <w:sz w:val="24"/>
                <w:highlight w:val="none"/>
              </w:rPr>
            </w:pPr>
          </w:p>
        </w:tc>
        <w:tc>
          <w:tcPr>
            <w:tcW w:w="4428" w:type="pct"/>
            <w:vAlign w:val="center"/>
          </w:tcPr>
          <w:p>
            <w:pPr>
              <w:spacing w:line="360" w:lineRule="auto"/>
              <w:rPr>
                <w:rFonts w:ascii="宋体" w:hAnsi="宋体" w:cs="宋体"/>
                <w:color w:val="auto"/>
                <w:sz w:val="24"/>
                <w:highlight w:val="none"/>
              </w:rPr>
            </w:pPr>
            <w:r>
              <w:rPr>
                <w:rFonts w:hint="eastAsia" w:asciiTheme="minorEastAsia" w:hAnsiTheme="minorEastAsia" w:eastAsiaTheme="minorEastAsia"/>
                <w:color w:val="auto"/>
                <w:sz w:val="24"/>
                <w:highlight w:val="none"/>
              </w:rPr>
              <w:t>投标下浮率报价没有大于或等于100%，也没有为负数</w:t>
            </w:r>
            <w:r>
              <w:rPr>
                <w:rFonts w:hint="eastAsia" w:cs="宋体" w:asciiTheme="minorEastAsia" w:hAnsiTheme="minorEastAsia" w:eastAsiaTheme="minorEastAsia"/>
                <w:color w:val="auto"/>
                <w:sz w:val="24"/>
                <w:highlight w:val="none"/>
              </w:rPr>
              <w:t>，且是固定唯一值的；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7" w:hRule="atLeast"/>
        </w:trPr>
        <w:tc>
          <w:tcPr>
            <w:tcW w:w="571" w:type="pct"/>
            <w:vAlign w:val="center"/>
          </w:tcPr>
          <w:p>
            <w:pPr>
              <w:numPr>
                <w:ilvl w:val="0"/>
                <w:numId w:val="26"/>
              </w:numPr>
              <w:tabs>
                <w:tab w:val="left" w:pos="176"/>
                <w:tab w:val="left" w:pos="612"/>
              </w:tabs>
              <w:jc w:val="center"/>
              <w:rPr>
                <w:rFonts w:ascii="宋体" w:hAnsi="宋体" w:cs="宋体"/>
                <w:color w:val="auto"/>
                <w:sz w:val="24"/>
                <w:highlight w:val="none"/>
              </w:rPr>
            </w:pPr>
          </w:p>
        </w:tc>
        <w:tc>
          <w:tcPr>
            <w:tcW w:w="4428" w:type="pct"/>
            <w:shd w:val="clear" w:color="auto" w:fill="auto"/>
            <w:vAlign w:val="center"/>
          </w:tcPr>
          <w:p>
            <w:pPr>
              <w:ind w:left="1"/>
              <w:rPr>
                <w:rFonts w:ascii="宋体" w:hAnsi="宋体" w:cs="宋体"/>
                <w:color w:val="auto"/>
                <w:sz w:val="24"/>
                <w:highlight w:val="none"/>
              </w:rPr>
            </w:pPr>
            <w:r>
              <w:rPr>
                <w:rFonts w:hint="eastAsia" w:ascii="宋体" w:hAnsi="宋体" w:cs="宋体"/>
                <w:color w:val="auto"/>
                <w:sz w:val="24"/>
                <w:highlight w:val="none"/>
              </w:rPr>
              <w:t>投标文件未出现选择性报价或有附加条件报价的情形；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7" w:hRule="atLeast"/>
        </w:trPr>
        <w:tc>
          <w:tcPr>
            <w:tcW w:w="571" w:type="pct"/>
            <w:vAlign w:val="center"/>
          </w:tcPr>
          <w:p>
            <w:pPr>
              <w:numPr>
                <w:ilvl w:val="0"/>
                <w:numId w:val="26"/>
              </w:numPr>
              <w:tabs>
                <w:tab w:val="left" w:pos="176"/>
                <w:tab w:val="left" w:pos="612"/>
              </w:tabs>
              <w:jc w:val="center"/>
              <w:rPr>
                <w:rFonts w:ascii="宋体" w:hAnsi="宋体" w:cs="宋体"/>
                <w:color w:val="auto"/>
                <w:sz w:val="24"/>
                <w:highlight w:val="none"/>
              </w:rPr>
            </w:pPr>
          </w:p>
        </w:tc>
        <w:tc>
          <w:tcPr>
            <w:tcW w:w="4428" w:type="pct"/>
            <w:vAlign w:val="center"/>
          </w:tcPr>
          <w:p>
            <w:pPr>
              <w:rPr>
                <w:rFonts w:ascii="宋体" w:hAnsi="宋体" w:cs="宋体"/>
                <w:color w:val="auto"/>
                <w:sz w:val="24"/>
                <w:highlight w:val="none"/>
              </w:rPr>
            </w:pPr>
            <w:r>
              <w:rPr>
                <w:rFonts w:hint="eastAsia" w:ascii="宋体" w:hAnsi="宋体" w:cs="宋体"/>
                <w:color w:val="auto"/>
                <w:sz w:val="24"/>
                <w:highlight w:val="none"/>
              </w:rPr>
              <w:t>投标文件完全满足招标文件的实质性条款（即标注★号条款）无负偏离的；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7" w:hRule="atLeast"/>
        </w:trPr>
        <w:tc>
          <w:tcPr>
            <w:tcW w:w="571" w:type="pct"/>
            <w:vAlign w:val="center"/>
          </w:tcPr>
          <w:p>
            <w:pPr>
              <w:numPr>
                <w:ilvl w:val="0"/>
                <w:numId w:val="26"/>
              </w:numPr>
              <w:tabs>
                <w:tab w:val="left" w:pos="176"/>
                <w:tab w:val="left" w:pos="612"/>
              </w:tabs>
              <w:jc w:val="center"/>
              <w:rPr>
                <w:rFonts w:ascii="宋体" w:hAnsi="宋体" w:cs="宋体"/>
                <w:color w:val="auto"/>
                <w:sz w:val="24"/>
                <w:highlight w:val="none"/>
              </w:rPr>
            </w:pPr>
          </w:p>
        </w:tc>
        <w:tc>
          <w:tcPr>
            <w:tcW w:w="4428" w:type="pct"/>
            <w:vAlign w:val="center"/>
          </w:tcPr>
          <w:p>
            <w:pPr>
              <w:rPr>
                <w:rFonts w:ascii="宋体" w:hAnsi="宋体" w:cs="宋体"/>
                <w:color w:val="auto"/>
                <w:sz w:val="24"/>
                <w:highlight w:val="none"/>
              </w:rPr>
            </w:pPr>
            <w:r>
              <w:rPr>
                <w:rFonts w:hint="eastAsia" w:ascii="宋体" w:hAnsi="宋体" w:cs="宋体"/>
                <w:color w:val="auto"/>
                <w:sz w:val="24"/>
                <w:highlight w:val="none"/>
              </w:rPr>
              <w:t>投标文件没有招标文件中规定的其它无效投标条款的；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7" w:hRule="atLeast"/>
        </w:trPr>
        <w:tc>
          <w:tcPr>
            <w:tcW w:w="571" w:type="pct"/>
            <w:vAlign w:val="center"/>
          </w:tcPr>
          <w:p>
            <w:pPr>
              <w:numPr>
                <w:ilvl w:val="0"/>
                <w:numId w:val="26"/>
              </w:numPr>
              <w:tabs>
                <w:tab w:val="left" w:pos="176"/>
                <w:tab w:val="left" w:pos="612"/>
              </w:tabs>
              <w:jc w:val="center"/>
              <w:rPr>
                <w:rFonts w:ascii="宋体" w:hAnsi="宋体" w:cs="宋体"/>
                <w:color w:val="auto"/>
                <w:sz w:val="24"/>
                <w:highlight w:val="none"/>
              </w:rPr>
            </w:pPr>
          </w:p>
        </w:tc>
        <w:tc>
          <w:tcPr>
            <w:tcW w:w="4428" w:type="pct"/>
            <w:vAlign w:val="center"/>
          </w:tcPr>
          <w:p>
            <w:pPr>
              <w:rPr>
                <w:rFonts w:ascii="宋体" w:hAnsi="宋体" w:cs="宋体"/>
                <w:color w:val="auto"/>
                <w:sz w:val="24"/>
                <w:highlight w:val="none"/>
              </w:rPr>
            </w:pPr>
            <w:r>
              <w:rPr>
                <w:rFonts w:hint="eastAsia" w:ascii="宋体" w:hAnsi="宋体" w:cs="宋体"/>
                <w:color w:val="auto"/>
                <w:sz w:val="24"/>
                <w:highlight w:val="none"/>
              </w:rPr>
              <w:t>按有关法律、法规、规章不属于投标无效的。</w:t>
            </w:r>
          </w:p>
        </w:tc>
      </w:tr>
    </w:tbl>
    <w:p>
      <w:pPr>
        <w:widowControl/>
        <w:jc w:val="center"/>
        <w:outlineLvl w:val="3"/>
        <w:rPr>
          <w:rFonts w:ascii="黑体" w:hAnsi="宋体" w:eastAsia="黑体" w:cs="宋体"/>
          <w:color w:val="auto"/>
          <w:sz w:val="28"/>
          <w:szCs w:val="28"/>
          <w:highlight w:val="none"/>
        </w:rPr>
      </w:pPr>
      <w:r>
        <w:rPr>
          <w:rFonts w:ascii="黑体" w:hAnsi="宋体" w:eastAsia="黑体" w:cs="宋体"/>
          <w:color w:val="auto"/>
          <w:sz w:val="28"/>
          <w:szCs w:val="28"/>
          <w:highlight w:val="none"/>
        </w:rPr>
        <w:br w:type="page"/>
      </w:r>
      <w:r>
        <w:rPr>
          <w:rFonts w:hint="eastAsia" w:ascii="黑体" w:hAnsi="宋体" w:eastAsia="黑体" w:cs="宋体"/>
          <w:color w:val="auto"/>
          <w:sz w:val="28"/>
          <w:szCs w:val="28"/>
          <w:highlight w:val="none"/>
        </w:rPr>
        <w:t>综合评分表（适用于包组一）</w:t>
      </w:r>
    </w:p>
    <w:tbl>
      <w:tblPr>
        <w:tblStyle w:val="16"/>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008"/>
        <w:gridCol w:w="1608"/>
        <w:gridCol w:w="6021"/>
        <w:gridCol w:w="833"/>
        <w:gridCol w:w="81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序号</w:t>
            </w:r>
          </w:p>
        </w:tc>
        <w:tc>
          <w:tcPr>
            <w:tcW w:w="782" w:type="pct"/>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评审因素</w:t>
            </w:r>
          </w:p>
        </w:tc>
        <w:tc>
          <w:tcPr>
            <w:tcW w:w="2928" w:type="pct"/>
            <w:vAlign w:val="center"/>
          </w:tcPr>
          <w:p>
            <w:pPr>
              <w:snapToGrid w:val="0"/>
              <w:spacing w:line="288" w:lineRule="auto"/>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评分细则</w:t>
            </w:r>
          </w:p>
        </w:tc>
        <w:tc>
          <w:tcPr>
            <w:tcW w:w="405" w:type="pct"/>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分值</w:t>
            </w:r>
          </w:p>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（分）</w:t>
            </w:r>
          </w:p>
        </w:tc>
        <w:tc>
          <w:tcPr>
            <w:tcW w:w="393" w:type="pct"/>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权重</w:t>
            </w:r>
          </w:p>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trPr>
        <w:tc>
          <w:tcPr>
            <w:tcW w:w="490" w:type="pct"/>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一</w:t>
            </w:r>
          </w:p>
        </w:tc>
        <w:tc>
          <w:tcPr>
            <w:tcW w:w="4509" w:type="pct"/>
            <w:gridSpan w:val="4"/>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asciiTheme="minorEastAsia" w:hAnsiTheme="minorEastAsia"/>
                <w:b/>
                <w:color w:val="auto"/>
                <w:sz w:val="24"/>
                <w:highlight w:val="none"/>
              </w:rPr>
              <w:t>技术部分（</w:t>
            </w:r>
            <w:r>
              <w:rPr>
                <w:rFonts w:hint="eastAsia" w:ascii="宋体" w:hAnsi="宋体"/>
                <w:b/>
                <w:color w:val="auto"/>
                <w:sz w:val="24"/>
                <w:highlight w:val="none"/>
              </w:rPr>
              <w:t>合计</w:t>
            </w:r>
            <w:r>
              <w:rPr>
                <w:rFonts w:hint="eastAsia" w:ascii="宋体" w:hAnsi="宋体"/>
                <w:b/>
                <w:color w:val="auto"/>
                <w:sz w:val="24"/>
                <w:highlight w:val="none"/>
                <w:lang w:val="en-US" w:eastAsia="zh-CN"/>
              </w:rPr>
              <w:t>46</w:t>
            </w:r>
            <w:r>
              <w:rPr>
                <w:rFonts w:hint="eastAsia" w:ascii="宋体" w:hAnsi="宋体"/>
                <w:b/>
                <w:color w:val="auto"/>
                <w:sz w:val="24"/>
                <w:highlight w:val="none"/>
              </w:rPr>
              <w:t>分</w:t>
            </w:r>
            <w:r>
              <w:rPr>
                <w:rFonts w:hint="eastAsia" w:asciiTheme="minorEastAsia" w:hAnsiTheme="minorEastAsia"/>
                <w:b/>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tcBorders>
              <w:bottom w:val="single" w:color="auto" w:sz="4" w:space="0"/>
            </w:tcBorders>
            <w:vAlign w:val="center"/>
          </w:tcPr>
          <w:p>
            <w:pPr>
              <w:pStyle w:val="24"/>
              <w:numPr>
                <w:ilvl w:val="0"/>
                <w:numId w:val="27"/>
              </w:numPr>
              <w:snapToGrid w:val="0"/>
              <w:spacing w:line="288" w:lineRule="auto"/>
              <w:ind w:firstLineChars="0"/>
              <w:jc w:val="center"/>
              <w:rPr>
                <w:rFonts w:asciiTheme="minorEastAsia" w:hAnsiTheme="minorEastAsia"/>
                <w:color w:val="auto"/>
                <w:sz w:val="24"/>
                <w:highlight w:val="none"/>
              </w:rPr>
            </w:pPr>
          </w:p>
        </w:tc>
        <w:tc>
          <w:tcPr>
            <w:tcW w:w="782" w:type="pct"/>
            <w:tcBorders>
              <w:bottom w:val="single" w:color="auto" w:sz="4" w:space="0"/>
            </w:tcBorders>
            <w:vAlign w:val="center"/>
          </w:tcPr>
          <w:p>
            <w:pPr>
              <w:snapToGrid w:val="0"/>
              <w:spacing w:line="288" w:lineRule="auto"/>
              <w:jc w:val="center"/>
              <w:rPr>
                <w:rFonts w:hint="eastAsia" w:eastAsia="宋体" w:asciiTheme="minorEastAsia" w:hAnsiTheme="minorEastAsia"/>
                <w:bCs/>
                <w:color w:val="auto"/>
                <w:sz w:val="24"/>
                <w:highlight w:val="none"/>
                <w:lang w:eastAsia="zh-CN"/>
              </w:rPr>
            </w:pPr>
            <w:r>
              <w:rPr>
                <w:rFonts w:hint="eastAsia" w:asciiTheme="minorEastAsia" w:hAnsiTheme="minorEastAsia" w:eastAsiaTheme="minorEastAsia"/>
                <w:bCs/>
                <w:color w:val="auto"/>
                <w:sz w:val="24"/>
                <w:highlight w:val="none"/>
                <w:lang w:eastAsia="zh-CN"/>
              </w:rPr>
              <w:t>服务方案</w:t>
            </w:r>
          </w:p>
        </w:tc>
        <w:tc>
          <w:tcPr>
            <w:tcW w:w="2928" w:type="pct"/>
            <w:vAlign w:val="center"/>
          </w:tcPr>
          <w:p>
            <w:pPr>
              <w:snapToGrid w:val="0"/>
              <w:spacing w:line="288" w:lineRule="auto"/>
              <w:jc w:val="left"/>
              <w:rPr>
                <w:rFonts w:hint="eastAsia" w:asciiTheme="minorEastAsia" w:hAnsiTheme="minorEastAsia"/>
                <w:bCs/>
                <w:color w:val="auto"/>
                <w:sz w:val="24"/>
                <w:highlight w:val="none"/>
              </w:rPr>
            </w:pPr>
            <w:r>
              <w:rPr>
                <w:rFonts w:hint="eastAsia" w:asciiTheme="minorEastAsia" w:hAnsiTheme="minorEastAsia"/>
                <w:bCs/>
                <w:color w:val="auto"/>
                <w:sz w:val="24"/>
                <w:highlight w:val="none"/>
              </w:rPr>
              <w:t>对投标人的服务方案进行评审，方案包含但不仅限于人员配备方案、食品宣传服务方案、采购项目台账制度、项目过程资料存档制度进行评审。</w:t>
            </w:r>
          </w:p>
          <w:p>
            <w:pPr>
              <w:snapToGrid w:val="0"/>
              <w:spacing w:line="288" w:lineRule="auto"/>
              <w:jc w:val="left"/>
              <w:rPr>
                <w:rFonts w:hint="eastAsia" w:asciiTheme="minorEastAsia" w:hAnsiTheme="minorEastAsia"/>
                <w:bCs/>
                <w:color w:val="auto"/>
                <w:sz w:val="24"/>
                <w:highlight w:val="none"/>
              </w:rPr>
            </w:pPr>
            <w:r>
              <w:rPr>
                <w:rFonts w:hint="eastAsia" w:asciiTheme="minorEastAsia" w:hAnsiTheme="minorEastAsia"/>
                <w:bCs/>
                <w:color w:val="auto"/>
                <w:sz w:val="24"/>
                <w:highlight w:val="none"/>
              </w:rPr>
              <w:t>服务方案合理、可操作性强，架构完整，完全满足项目要求,得</w:t>
            </w:r>
            <w:r>
              <w:rPr>
                <w:rFonts w:hint="eastAsia" w:asciiTheme="minorEastAsia" w:hAnsiTheme="minorEastAsia"/>
                <w:bCs/>
                <w:color w:val="auto"/>
                <w:sz w:val="24"/>
                <w:highlight w:val="none"/>
                <w:lang w:val="en-US" w:eastAsia="zh-CN"/>
              </w:rPr>
              <w:t>6</w:t>
            </w:r>
            <w:r>
              <w:rPr>
                <w:rFonts w:hint="eastAsia" w:asciiTheme="minorEastAsia" w:hAnsiTheme="minorEastAsia"/>
                <w:bCs/>
                <w:color w:val="auto"/>
                <w:sz w:val="24"/>
                <w:highlight w:val="none"/>
              </w:rPr>
              <w:t>分；</w:t>
            </w:r>
          </w:p>
          <w:p>
            <w:pPr>
              <w:snapToGrid w:val="0"/>
              <w:spacing w:line="288" w:lineRule="auto"/>
              <w:jc w:val="left"/>
              <w:rPr>
                <w:rFonts w:hint="eastAsia" w:asciiTheme="minorEastAsia" w:hAnsiTheme="minorEastAsia"/>
                <w:bCs/>
                <w:color w:val="auto"/>
                <w:sz w:val="24"/>
                <w:highlight w:val="none"/>
              </w:rPr>
            </w:pPr>
            <w:r>
              <w:rPr>
                <w:rFonts w:hint="eastAsia" w:asciiTheme="minorEastAsia" w:hAnsiTheme="minorEastAsia"/>
                <w:bCs/>
                <w:color w:val="auto"/>
                <w:sz w:val="24"/>
                <w:highlight w:val="none"/>
              </w:rPr>
              <w:t>服务方案较合理、可操作性较强，架构较齐全，基本满足项目要求,得3分；</w:t>
            </w:r>
          </w:p>
          <w:p>
            <w:pPr>
              <w:snapToGrid w:val="0"/>
              <w:spacing w:line="288" w:lineRule="auto"/>
              <w:jc w:val="left"/>
              <w:rPr>
                <w:rFonts w:hint="eastAsia" w:asciiTheme="minorEastAsia" w:hAnsiTheme="minorEastAsia"/>
                <w:bCs/>
                <w:color w:val="auto"/>
                <w:sz w:val="24"/>
                <w:highlight w:val="none"/>
              </w:rPr>
            </w:pPr>
            <w:r>
              <w:rPr>
                <w:rFonts w:hint="eastAsia" w:asciiTheme="minorEastAsia" w:hAnsiTheme="minorEastAsia"/>
                <w:bCs/>
                <w:color w:val="auto"/>
                <w:sz w:val="24"/>
                <w:highlight w:val="none"/>
              </w:rPr>
              <w:t>服务方案可操作性一般，架构不太完整，得1分。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备注：提供服务方案，不提供不得分。</w:t>
            </w:r>
          </w:p>
        </w:tc>
        <w:tc>
          <w:tcPr>
            <w:tcW w:w="405"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lang w:val="en-US" w:eastAsia="zh-CN"/>
              </w:rPr>
              <w:t>6</w:t>
            </w:r>
            <w:r>
              <w:rPr>
                <w:rFonts w:hint="eastAsia" w:asciiTheme="minorEastAsia" w:hAnsiTheme="minorEastAsia"/>
                <w:bCs/>
                <w:color w:val="auto"/>
                <w:sz w:val="24"/>
                <w:highlight w:val="none"/>
              </w:rPr>
              <w:t>分</w:t>
            </w:r>
          </w:p>
        </w:tc>
        <w:tc>
          <w:tcPr>
            <w:tcW w:w="393"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lang w:val="en-US" w:eastAsia="zh-CN"/>
              </w:rPr>
              <w:t>6</w:t>
            </w:r>
            <w:r>
              <w:rPr>
                <w:rFonts w:hint="eastAsia" w:asciiTheme="minorEastAsia" w:hAnsiTheme="minorEastAsia"/>
                <w:bCs/>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59" w:hRule="atLeast"/>
        </w:trPr>
        <w:tc>
          <w:tcPr>
            <w:tcW w:w="490" w:type="pct"/>
            <w:vMerge w:val="restart"/>
            <w:tcBorders>
              <w:top w:val="single" w:color="auto" w:sz="4" w:space="0"/>
            </w:tcBorders>
            <w:vAlign w:val="center"/>
          </w:tcPr>
          <w:p>
            <w:pPr>
              <w:pStyle w:val="24"/>
              <w:numPr>
                <w:ilvl w:val="0"/>
                <w:numId w:val="27"/>
              </w:numPr>
              <w:snapToGrid w:val="0"/>
              <w:spacing w:line="288" w:lineRule="auto"/>
              <w:ind w:firstLineChars="0"/>
              <w:jc w:val="center"/>
              <w:rPr>
                <w:rFonts w:asciiTheme="minorEastAsia" w:hAnsiTheme="minorEastAsia"/>
                <w:color w:val="auto"/>
                <w:sz w:val="24"/>
                <w:highlight w:val="none"/>
              </w:rPr>
            </w:pPr>
          </w:p>
        </w:tc>
        <w:tc>
          <w:tcPr>
            <w:tcW w:w="782" w:type="pct"/>
            <w:vMerge w:val="restart"/>
            <w:tcBorders>
              <w:top w:val="single" w:color="auto" w:sz="4" w:space="0"/>
            </w:tcBorders>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eastAsiaTheme="minorEastAsia"/>
                <w:bCs/>
                <w:color w:val="auto"/>
                <w:sz w:val="24"/>
                <w:highlight w:val="none"/>
              </w:rPr>
              <w:t>投标人检测能力</w:t>
            </w:r>
          </w:p>
        </w:tc>
        <w:tc>
          <w:tcPr>
            <w:tcW w:w="2928" w:type="pct"/>
            <w:vAlign w:val="center"/>
          </w:tcPr>
          <w:p>
            <w:pPr>
              <w:numPr>
                <w:ilvl w:val="0"/>
                <w:numId w:val="28"/>
              </w:numPr>
              <w:snapToGrid w:val="0"/>
              <w:spacing w:line="288" w:lineRule="auto"/>
              <w:jc w:val="left"/>
              <w:rPr>
                <w:rFonts w:asciiTheme="minorEastAsia" w:hAnsiTheme="minorEastAsia"/>
                <w:color w:val="auto"/>
                <w:sz w:val="24"/>
                <w:highlight w:val="none"/>
              </w:rPr>
            </w:pPr>
            <w:r>
              <w:rPr>
                <w:rFonts w:hint="eastAsia" w:asciiTheme="minorEastAsia" w:hAnsiTheme="minorEastAsia" w:eastAsiaTheme="minorEastAsia"/>
                <w:color w:val="auto"/>
                <w:sz w:val="24"/>
                <w:highlight w:val="none"/>
              </w:rPr>
              <w:t>获得中国合格评定国家认可委员会实验室认可证书 (CNAS)，</w:t>
            </w:r>
            <w:r>
              <w:rPr>
                <w:rFonts w:hint="eastAsia" w:asciiTheme="minorEastAsia" w:hAnsiTheme="minorEastAsia"/>
                <w:color w:val="auto"/>
                <w:sz w:val="24"/>
                <w:highlight w:val="none"/>
              </w:rPr>
              <w:t>得3分。</w:t>
            </w:r>
          </w:p>
          <w:p>
            <w:pPr>
              <w:snapToGrid w:val="0"/>
              <w:spacing w:line="288" w:lineRule="auto"/>
              <w:jc w:val="left"/>
              <w:rPr>
                <w:rFonts w:asciiTheme="minorEastAsia" w:hAnsiTheme="minorEastAsia"/>
                <w:color w:val="auto"/>
                <w:sz w:val="24"/>
                <w:highlight w:val="none"/>
              </w:rPr>
            </w:pPr>
            <w:r>
              <w:rPr>
                <w:rFonts w:hint="eastAsia" w:asciiTheme="minorEastAsia" w:hAnsiTheme="minorEastAsia" w:eastAsiaTheme="minorEastAsia"/>
                <w:color w:val="auto"/>
                <w:sz w:val="24"/>
                <w:highlight w:val="none"/>
              </w:rPr>
              <w:t>备注：提供有效期内的证书复印件并加盖投标人公章。</w:t>
            </w:r>
          </w:p>
        </w:tc>
        <w:tc>
          <w:tcPr>
            <w:tcW w:w="405"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3分</w:t>
            </w:r>
          </w:p>
        </w:tc>
        <w:tc>
          <w:tcPr>
            <w:tcW w:w="393"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43" w:hRule="atLeast"/>
        </w:trPr>
        <w:tc>
          <w:tcPr>
            <w:tcW w:w="490" w:type="pct"/>
            <w:vAlign w:val="center"/>
          </w:tcPr>
          <w:p>
            <w:pPr>
              <w:pStyle w:val="24"/>
              <w:numPr>
                <w:ilvl w:val="0"/>
                <w:numId w:val="27"/>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pacing w:line="273" w:lineRule="auto"/>
              <w:jc w:val="center"/>
              <w:rPr>
                <w:rFonts w:cs="宋体" w:asciiTheme="minorEastAsia" w:hAnsiTheme="minorEastAsia"/>
                <w:color w:val="auto"/>
                <w:sz w:val="24"/>
                <w:highlight w:val="none"/>
              </w:rPr>
            </w:pPr>
            <w:r>
              <w:rPr>
                <w:rFonts w:hint="eastAsia" w:asciiTheme="minorEastAsia" w:hAnsiTheme="minorEastAsia"/>
                <w:color w:val="auto"/>
                <w:sz w:val="24"/>
                <w:highlight w:val="none"/>
              </w:rPr>
              <w:t>检测项目承检完整度</w:t>
            </w:r>
          </w:p>
        </w:tc>
        <w:tc>
          <w:tcPr>
            <w:tcW w:w="2928" w:type="pct"/>
            <w:vAlign w:val="center"/>
          </w:tcPr>
          <w:p>
            <w:pPr>
              <w:snapToGrid w:val="0"/>
              <w:spacing w:line="288" w:lineRule="auto"/>
              <w:jc w:val="left"/>
              <w:rPr>
                <w:rFonts w:asciiTheme="minorEastAsia" w:hAnsiTheme="minorEastAsia"/>
                <w:color w:val="auto"/>
                <w:sz w:val="24"/>
                <w:highlight w:val="none"/>
              </w:rPr>
            </w:pPr>
            <w:r>
              <w:rPr>
                <w:rFonts w:hint="eastAsia" w:asciiTheme="minorEastAsia" w:hAnsiTheme="minorEastAsia"/>
                <w:color w:val="auto"/>
                <w:sz w:val="24"/>
                <w:highlight w:val="none"/>
              </w:rPr>
              <w:t>能够承检的检验项目（附件1《</w:t>
            </w:r>
            <w:r>
              <w:rPr>
                <w:rFonts w:hint="eastAsia" w:asciiTheme="minorEastAsia" w:hAnsiTheme="minorEastAsia" w:eastAsiaTheme="minorEastAsia"/>
                <w:color w:val="auto"/>
                <w:sz w:val="24"/>
                <w:highlight w:val="none"/>
              </w:rPr>
              <w:t>开平市市场监管局食用农产品检验项目响应表</w:t>
            </w:r>
            <w:r>
              <w:rPr>
                <w:rFonts w:hint="eastAsia" w:asciiTheme="minorEastAsia" w:hAnsiTheme="minorEastAsia"/>
                <w:color w:val="auto"/>
                <w:sz w:val="24"/>
                <w:highlight w:val="none"/>
              </w:rPr>
              <w:t>》）：</w:t>
            </w:r>
            <w:r>
              <w:rPr>
                <w:rFonts w:hint="eastAsia" w:asciiTheme="minorEastAsia" w:hAnsiTheme="minorEastAsia"/>
                <w:color w:val="auto"/>
                <w:sz w:val="24"/>
                <w:highlight w:val="none"/>
              </w:rPr>
              <w:br w:type="textWrapping"/>
            </w:r>
            <w:r>
              <w:rPr>
                <w:rFonts w:hint="eastAsia" w:asciiTheme="minorEastAsia" w:hAnsiTheme="minorEastAsia"/>
                <w:color w:val="auto"/>
                <w:sz w:val="24"/>
                <w:highlight w:val="none"/>
              </w:rPr>
              <w:t>覆盖率达到[99%-100%]的得8分；</w:t>
            </w:r>
          </w:p>
          <w:p>
            <w:pPr>
              <w:snapToGrid w:val="0"/>
              <w:spacing w:line="288" w:lineRule="auto"/>
              <w:jc w:val="left"/>
              <w:rPr>
                <w:rFonts w:asciiTheme="minorEastAsia" w:hAnsiTheme="minorEastAsia"/>
                <w:color w:val="auto"/>
                <w:sz w:val="24"/>
                <w:highlight w:val="none"/>
              </w:rPr>
            </w:pPr>
            <w:r>
              <w:rPr>
                <w:rFonts w:hint="eastAsia" w:asciiTheme="minorEastAsia" w:hAnsiTheme="minorEastAsia"/>
                <w:color w:val="auto"/>
                <w:sz w:val="24"/>
                <w:highlight w:val="none"/>
              </w:rPr>
              <w:t>覆盖率达到[95%－99%）的得6分；</w:t>
            </w:r>
          </w:p>
          <w:p>
            <w:pPr>
              <w:snapToGrid w:val="0"/>
              <w:spacing w:line="288" w:lineRule="auto"/>
              <w:jc w:val="left"/>
              <w:rPr>
                <w:rFonts w:asciiTheme="minorEastAsia" w:hAnsiTheme="minorEastAsia"/>
                <w:color w:val="auto"/>
                <w:sz w:val="24"/>
                <w:highlight w:val="none"/>
              </w:rPr>
            </w:pPr>
            <w:r>
              <w:rPr>
                <w:rFonts w:hint="eastAsia" w:asciiTheme="minorEastAsia" w:hAnsiTheme="minorEastAsia"/>
                <w:color w:val="auto"/>
                <w:sz w:val="24"/>
                <w:highlight w:val="none"/>
              </w:rPr>
              <w:t>覆盖率达到[90%－95%）的得2分；</w:t>
            </w:r>
          </w:p>
          <w:p>
            <w:pPr>
              <w:snapToGrid w:val="0"/>
              <w:spacing w:line="288" w:lineRule="auto"/>
              <w:jc w:val="left"/>
              <w:rPr>
                <w:rFonts w:asciiTheme="minorEastAsia" w:hAnsiTheme="minorEastAsia"/>
                <w:color w:val="auto"/>
                <w:sz w:val="24"/>
                <w:highlight w:val="none"/>
              </w:rPr>
            </w:pPr>
            <w:r>
              <w:rPr>
                <w:rFonts w:hint="eastAsia" w:asciiTheme="minorEastAsia" w:hAnsiTheme="minorEastAsia"/>
                <w:color w:val="auto"/>
                <w:sz w:val="24"/>
                <w:highlight w:val="none"/>
              </w:rPr>
              <w:t>覆盖率不足90%的，不得分。</w:t>
            </w:r>
          </w:p>
          <w:p>
            <w:pPr>
              <w:snapToGrid w:val="0"/>
              <w:spacing w:line="288" w:lineRule="auto"/>
              <w:jc w:val="left"/>
              <w:rPr>
                <w:rFonts w:asciiTheme="minorEastAsia" w:hAnsiTheme="minorEastAsia"/>
                <w:color w:val="auto"/>
                <w:sz w:val="24"/>
                <w:highlight w:val="none"/>
              </w:rPr>
            </w:pPr>
            <w:r>
              <w:rPr>
                <w:rFonts w:hint="eastAsia" w:asciiTheme="minorEastAsia" w:hAnsiTheme="minorEastAsia"/>
                <w:color w:val="auto"/>
                <w:sz w:val="24"/>
                <w:highlight w:val="none"/>
              </w:rPr>
              <w:t>备注：需附投标人</w:t>
            </w:r>
            <w:r>
              <w:rPr>
                <w:rFonts w:hint="eastAsia" w:ascii="宋体" w:hAnsi="宋体" w:cs="宋体"/>
                <w:color w:val="auto"/>
                <w:sz w:val="24"/>
                <w:highlight w:val="none"/>
                <w:lang w:val="en-US" w:eastAsia="zh-CN"/>
              </w:rPr>
              <w:t>CATL和</w:t>
            </w:r>
            <w:r>
              <w:rPr>
                <w:rFonts w:hint="eastAsia" w:ascii="宋体" w:hAnsi="宋体" w:cs="宋体"/>
                <w:color w:val="auto"/>
                <w:sz w:val="24"/>
                <w:highlight w:val="none"/>
              </w:rPr>
              <w:t>CMA</w:t>
            </w:r>
            <w:r>
              <w:rPr>
                <w:rFonts w:hint="eastAsia" w:ascii="宋体" w:hAnsi="宋体" w:cs="宋体"/>
                <w:color w:val="auto"/>
                <w:sz w:val="24"/>
                <w:highlight w:val="none"/>
                <w:lang w:eastAsia="zh-CN"/>
              </w:rPr>
              <w:t>（</w:t>
            </w:r>
            <w:r>
              <w:rPr>
                <w:rFonts w:hint="eastAsia" w:ascii="宋体" w:hAnsi="宋体" w:cs="宋体"/>
                <w:color w:val="auto"/>
                <w:sz w:val="24"/>
                <w:highlight w:val="none"/>
              </w:rPr>
              <w:t>或CMAF</w:t>
            </w:r>
            <w:r>
              <w:rPr>
                <w:rFonts w:hint="eastAsia" w:ascii="宋体" w:hAnsi="宋体" w:cs="宋体"/>
                <w:color w:val="auto"/>
                <w:sz w:val="24"/>
                <w:highlight w:val="none"/>
                <w:lang w:eastAsia="zh-CN"/>
              </w:rPr>
              <w:t>）</w:t>
            </w:r>
            <w:r>
              <w:rPr>
                <w:rFonts w:hint="eastAsia" w:asciiTheme="minorEastAsia" w:hAnsiTheme="minorEastAsia"/>
                <w:color w:val="auto"/>
                <w:sz w:val="24"/>
                <w:highlight w:val="none"/>
              </w:rPr>
              <w:t>附表并统计出覆盖率及相对应的响应表。</w:t>
            </w:r>
          </w:p>
        </w:tc>
        <w:tc>
          <w:tcPr>
            <w:tcW w:w="405"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8分</w:t>
            </w:r>
          </w:p>
        </w:tc>
        <w:tc>
          <w:tcPr>
            <w:tcW w:w="393"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pStyle w:val="24"/>
              <w:numPr>
                <w:ilvl w:val="0"/>
                <w:numId w:val="27"/>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eastAsiaTheme="minorEastAsia"/>
                <w:bCs/>
                <w:color w:val="auto"/>
                <w:sz w:val="24"/>
                <w:highlight w:val="none"/>
              </w:rPr>
              <w:t>实验室及配备仪器（机械）设备情况</w:t>
            </w:r>
          </w:p>
        </w:tc>
        <w:tc>
          <w:tcPr>
            <w:tcW w:w="2928" w:type="pct"/>
            <w:vAlign w:val="center"/>
          </w:tcPr>
          <w:p>
            <w:pPr>
              <w:pStyle w:val="24"/>
              <w:numPr>
                <w:ilvl w:val="1"/>
                <w:numId w:val="10"/>
              </w:numPr>
              <w:snapToGrid w:val="0"/>
              <w:spacing w:line="288" w:lineRule="auto"/>
              <w:ind w:left="0" w:hanging="63" w:firstLineChars="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投标人在江门地区内开设实验室或承诺中标后（自合同签订之日起6个月内）在江门地区开设实验室的</w:t>
            </w:r>
            <w:r>
              <w:rPr>
                <w:rFonts w:hint="eastAsia" w:asciiTheme="minorEastAsia" w:hAnsiTheme="minorEastAsia"/>
                <w:color w:val="auto"/>
                <w:sz w:val="24"/>
                <w:highlight w:val="none"/>
              </w:rPr>
              <w:t>，</w:t>
            </w:r>
            <w:r>
              <w:rPr>
                <w:rFonts w:hint="eastAsia" w:asciiTheme="minorEastAsia" w:hAnsiTheme="minorEastAsia" w:eastAsiaTheme="minorEastAsia"/>
                <w:color w:val="auto"/>
                <w:sz w:val="24"/>
                <w:highlight w:val="none"/>
              </w:rPr>
              <w:t>得</w:t>
            </w:r>
            <w:r>
              <w:rPr>
                <w:rFonts w:hint="eastAsia" w:asciiTheme="minorEastAsia" w:hAnsiTheme="minorEastAsia"/>
                <w:color w:val="auto"/>
                <w:sz w:val="24"/>
                <w:highlight w:val="none"/>
              </w:rPr>
              <w:t>4</w:t>
            </w:r>
            <w:r>
              <w:rPr>
                <w:rFonts w:hint="eastAsia" w:asciiTheme="minorEastAsia" w:hAnsiTheme="minorEastAsia" w:eastAsiaTheme="minorEastAsia"/>
                <w:color w:val="auto"/>
                <w:sz w:val="24"/>
                <w:highlight w:val="none"/>
              </w:rPr>
              <w:t>分；</w:t>
            </w:r>
          </w:p>
          <w:p>
            <w:pPr>
              <w:pStyle w:val="24"/>
              <w:numPr>
                <w:ilvl w:val="1"/>
                <w:numId w:val="10"/>
              </w:numPr>
              <w:snapToGrid w:val="0"/>
              <w:spacing w:line="288" w:lineRule="auto"/>
              <w:ind w:left="0" w:hanging="63" w:firstLineChars="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投标人在开平市内开设服务点或承诺中标后（自合同签订之日起1个月内）开设服务点，服务点配备2名技术人员及1辆检测车的，得4分。</w:t>
            </w:r>
          </w:p>
          <w:p>
            <w:pPr>
              <w:snapToGrid w:val="0"/>
              <w:spacing w:line="288" w:lineRule="auto"/>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备注：</w:t>
            </w:r>
          </w:p>
          <w:p>
            <w:pPr>
              <w:pStyle w:val="24"/>
              <w:numPr>
                <w:ilvl w:val="0"/>
                <w:numId w:val="29"/>
              </w:numPr>
              <w:snapToGrid w:val="0"/>
              <w:spacing w:line="288" w:lineRule="auto"/>
              <w:ind w:firstLineChars="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提供投标人的房产证或投标人签订的租赁合同（租赁期需含括本项目服务期）或国有资产划转移交协议书复印件或承诺函</w:t>
            </w:r>
            <w:r>
              <w:rPr>
                <w:rFonts w:hint="eastAsia" w:asciiTheme="minorEastAsia" w:hAnsiTheme="minorEastAsia"/>
                <w:color w:val="auto"/>
                <w:sz w:val="24"/>
                <w:highlight w:val="none"/>
              </w:rPr>
              <w:t>，</w:t>
            </w:r>
            <w:r>
              <w:rPr>
                <w:rFonts w:hint="eastAsia" w:asciiTheme="minorEastAsia" w:hAnsiTheme="minorEastAsia" w:eastAsiaTheme="minorEastAsia"/>
                <w:color w:val="auto"/>
                <w:sz w:val="24"/>
                <w:highlight w:val="none"/>
              </w:rPr>
              <w:t xml:space="preserve">加盖投标人公章。 </w:t>
            </w:r>
          </w:p>
          <w:p>
            <w:pPr>
              <w:pStyle w:val="24"/>
              <w:numPr>
                <w:ilvl w:val="0"/>
                <w:numId w:val="29"/>
              </w:numPr>
              <w:snapToGrid w:val="0"/>
              <w:spacing w:line="288" w:lineRule="auto"/>
              <w:ind w:firstLineChars="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服务点人员需提供投标截止之日前1个月（2020年3月）投标单位为其购买社保的证明材料（当地社保管理相关部门出具并盖章）。</w:t>
            </w:r>
          </w:p>
          <w:p>
            <w:pPr>
              <w:pStyle w:val="24"/>
              <w:numPr>
                <w:ilvl w:val="0"/>
                <w:numId w:val="29"/>
              </w:numPr>
              <w:snapToGrid w:val="0"/>
              <w:spacing w:line="288" w:lineRule="auto"/>
              <w:ind w:firstLineChars="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车辆要求：如自有车辆，必须登记在投标人名下，且提供车辆购买发票、行驶证、机动车登记证书复印件并加盖公章。如租赁车辆，应提供租赁协议复印件（租赁期含括本项目服务期）及车辆照片并加盖公章。</w:t>
            </w:r>
          </w:p>
          <w:p>
            <w:pPr>
              <w:snapToGrid w:val="0"/>
              <w:spacing w:line="288" w:lineRule="auto"/>
              <w:jc w:val="left"/>
              <w:rPr>
                <w:rFonts w:asciiTheme="minorEastAsia" w:hAnsiTheme="minorEastAsia"/>
                <w:color w:val="auto"/>
                <w:sz w:val="24"/>
                <w:highlight w:val="none"/>
              </w:rPr>
            </w:pPr>
            <w:r>
              <w:rPr>
                <w:rFonts w:hint="eastAsia" w:asciiTheme="minorEastAsia" w:hAnsiTheme="minorEastAsia"/>
                <w:color w:val="auto"/>
                <w:sz w:val="24"/>
                <w:highlight w:val="none"/>
                <w:lang w:val="en-US" w:eastAsia="zh-CN"/>
              </w:rPr>
              <w:t>3</w:t>
            </w:r>
            <w:r>
              <w:rPr>
                <w:rFonts w:hint="eastAsia" w:asciiTheme="minorEastAsia" w:hAnsiTheme="minorEastAsia"/>
                <w:color w:val="auto"/>
                <w:sz w:val="24"/>
                <w:highlight w:val="none"/>
              </w:rPr>
              <w:t>、设备齐全，具有气相色谱仪、液相色谱质谱联用仪(或液质质联用仪)、电感耦合等离子体质谱仪、气质质联用仪、原子吸收分光光度计、原子荧光分光光度计、二维气相色谱高分辨质谱联用仪。</w:t>
            </w:r>
          </w:p>
          <w:p>
            <w:pPr>
              <w:snapToGrid w:val="0"/>
              <w:spacing w:line="288" w:lineRule="auto"/>
              <w:jc w:val="left"/>
              <w:rPr>
                <w:rFonts w:asciiTheme="minorEastAsia" w:hAnsiTheme="minorEastAsia"/>
                <w:color w:val="auto"/>
                <w:sz w:val="24"/>
                <w:highlight w:val="none"/>
              </w:rPr>
            </w:pPr>
            <w:r>
              <w:rPr>
                <w:rFonts w:hint="eastAsia" w:asciiTheme="minorEastAsia" w:hAnsiTheme="minorEastAsia"/>
                <w:color w:val="auto"/>
                <w:sz w:val="24"/>
                <w:highlight w:val="none"/>
              </w:rPr>
              <w:t>设备齐全的得3分，每少一种设备的减0.5分。</w:t>
            </w:r>
          </w:p>
          <w:p>
            <w:pPr>
              <w:pStyle w:val="24"/>
              <w:numPr>
                <w:ilvl w:val="0"/>
                <w:numId w:val="0"/>
              </w:numPr>
              <w:snapToGrid w:val="0"/>
              <w:spacing w:line="288" w:lineRule="auto"/>
              <w:ind w:leftChars="0"/>
              <w:jc w:val="left"/>
              <w:rPr>
                <w:rFonts w:asciiTheme="minorEastAsia" w:hAnsiTheme="minorEastAsia" w:eastAsiaTheme="minorEastAsia"/>
                <w:color w:val="auto"/>
                <w:sz w:val="24"/>
                <w:highlight w:val="none"/>
              </w:rPr>
            </w:pPr>
            <w:r>
              <w:rPr>
                <w:rFonts w:hint="eastAsia" w:asciiTheme="minorEastAsia" w:hAnsiTheme="minorEastAsia"/>
                <w:color w:val="auto"/>
                <w:sz w:val="24"/>
                <w:highlight w:val="none"/>
              </w:rPr>
              <w:t>备注：提供设备清单和图片和购置发票等证明文件，加盖投标人公章。</w:t>
            </w:r>
          </w:p>
        </w:tc>
        <w:tc>
          <w:tcPr>
            <w:tcW w:w="405"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11分</w:t>
            </w:r>
          </w:p>
        </w:tc>
        <w:tc>
          <w:tcPr>
            <w:tcW w:w="393"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37" w:hRule="atLeast"/>
        </w:trPr>
        <w:tc>
          <w:tcPr>
            <w:tcW w:w="490" w:type="pct"/>
            <w:vAlign w:val="center"/>
          </w:tcPr>
          <w:p>
            <w:pPr>
              <w:pStyle w:val="24"/>
              <w:numPr>
                <w:ilvl w:val="0"/>
                <w:numId w:val="27"/>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实施方案</w:t>
            </w:r>
          </w:p>
        </w:tc>
        <w:tc>
          <w:tcPr>
            <w:tcW w:w="2928" w:type="pct"/>
            <w:vAlign w:val="center"/>
          </w:tcPr>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实施方案合理，可操作性强，构思方案完整，对本项目的理解程序和整体思路到位，重点突出，难点分析到位，方案涉及细则编制、抽样、检验、总结分析、样品保存、运输等流程；</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实施方案合理、可操作性强，构思方案完整，重难点分析到位，完全满足项目要求,得</w:t>
            </w:r>
            <w:r>
              <w:rPr>
                <w:rFonts w:hint="eastAsia" w:asciiTheme="minorEastAsia" w:hAnsiTheme="minorEastAsia"/>
                <w:bCs/>
                <w:color w:val="auto"/>
                <w:sz w:val="24"/>
                <w:highlight w:val="none"/>
                <w:lang w:val="en-US" w:eastAsia="zh-CN"/>
              </w:rPr>
              <w:t>8</w:t>
            </w:r>
            <w:r>
              <w:rPr>
                <w:rFonts w:hint="eastAsia" w:asciiTheme="minorEastAsia" w:hAnsiTheme="minorEastAsia"/>
                <w:bCs/>
                <w:color w:val="auto"/>
                <w:sz w:val="24"/>
                <w:highlight w:val="none"/>
              </w:rPr>
              <w:t>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实施方案合理、可操作性较强，构思方案基本完整，重难点分析基本合理，基本满足项目要求,得</w:t>
            </w:r>
            <w:r>
              <w:rPr>
                <w:rFonts w:hint="eastAsia" w:asciiTheme="minorEastAsia" w:hAnsiTheme="minorEastAsia"/>
                <w:bCs/>
                <w:color w:val="auto"/>
                <w:sz w:val="24"/>
                <w:highlight w:val="none"/>
                <w:lang w:val="en-US" w:eastAsia="zh-CN"/>
              </w:rPr>
              <w:t>4</w:t>
            </w:r>
            <w:r>
              <w:rPr>
                <w:rFonts w:hint="eastAsia" w:asciiTheme="minorEastAsia" w:hAnsiTheme="minorEastAsia"/>
                <w:bCs/>
                <w:color w:val="auto"/>
                <w:sz w:val="24"/>
                <w:highlight w:val="none"/>
              </w:rPr>
              <w:t>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实施方案较合理、可操作性一般，构思方案一般，基本满足项目要求,得</w:t>
            </w:r>
            <w:r>
              <w:rPr>
                <w:rFonts w:hint="eastAsia" w:asciiTheme="minorEastAsia" w:hAnsiTheme="minorEastAsia"/>
                <w:bCs/>
                <w:color w:val="auto"/>
                <w:sz w:val="24"/>
                <w:highlight w:val="none"/>
                <w:lang w:val="en-US" w:eastAsia="zh-CN"/>
              </w:rPr>
              <w:t>2</w:t>
            </w:r>
            <w:r>
              <w:rPr>
                <w:rFonts w:hint="eastAsia" w:asciiTheme="minorEastAsia" w:hAnsiTheme="minorEastAsia"/>
                <w:bCs/>
                <w:color w:val="auto"/>
                <w:sz w:val="24"/>
                <w:highlight w:val="none"/>
              </w:rPr>
              <w:t>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备注：提供实施方案，不提供不得分。</w:t>
            </w:r>
          </w:p>
        </w:tc>
        <w:tc>
          <w:tcPr>
            <w:tcW w:w="405"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lang w:val="en-US" w:eastAsia="zh-CN"/>
              </w:rPr>
              <w:t>8</w:t>
            </w:r>
            <w:r>
              <w:rPr>
                <w:rFonts w:hint="eastAsia" w:asciiTheme="minorEastAsia" w:hAnsiTheme="minorEastAsia"/>
                <w:bCs/>
                <w:color w:val="auto"/>
                <w:sz w:val="24"/>
                <w:highlight w:val="none"/>
              </w:rPr>
              <w:t>分</w:t>
            </w:r>
          </w:p>
        </w:tc>
        <w:tc>
          <w:tcPr>
            <w:tcW w:w="393"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lang w:val="en-US" w:eastAsia="zh-CN"/>
              </w:rPr>
              <w:t>8</w:t>
            </w:r>
            <w:r>
              <w:rPr>
                <w:rFonts w:hint="eastAsia" w:asciiTheme="minorEastAsia" w:hAnsiTheme="minorEastAsia"/>
                <w:bCs/>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37" w:hRule="atLeast"/>
        </w:trPr>
        <w:tc>
          <w:tcPr>
            <w:tcW w:w="490" w:type="pct"/>
            <w:vAlign w:val="center"/>
          </w:tcPr>
          <w:p>
            <w:pPr>
              <w:pStyle w:val="24"/>
              <w:numPr>
                <w:ilvl w:val="0"/>
                <w:numId w:val="27"/>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项目技术服务人员情况</w:t>
            </w:r>
          </w:p>
        </w:tc>
        <w:tc>
          <w:tcPr>
            <w:tcW w:w="2928" w:type="pct"/>
            <w:vAlign w:val="center"/>
          </w:tcPr>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每提供一位与本项目专业相关的高级职称或博士学位技术人员得0.5分，本项最高5分。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备注：提供学历证书或者职称证书复印件并加盖投标人公章。</w:t>
            </w:r>
          </w:p>
        </w:tc>
        <w:tc>
          <w:tcPr>
            <w:tcW w:w="405"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5分</w:t>
            </w:r>
          </w:p>
        </w:tc>
        <w:tc>
          <w:tcPr>
            <w:tcW w:w="393"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3" w:hRule="atLeast"/>
        </w:trPr>
        <w:tc>
          <w:tcPr>
            <w:tcW w:w="490" w:type="pct"/>
            <w:vAlign w:val="center"/>
          </w:tcPr>
          <w:p>
            <w:pPr>
              <w:pStyle w:val="24"/>
              <w:numPr>
                <w:ilvl w:val="0"/>
                <w:numId w:val="27"/>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食品前沿检测能力</w:t>
            </w:r>
          </w:p>
        </w:tc>
        <w:tc>
          <w:tcPr>
            <w:tcW w:w="2928" w:type="pct"/>
            <w:vAlign w:val="center"/>
          </w:tcPr>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投标人具备食品及食品原料非标检测能力，得1分；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投标人具备放射性物质残留检测所需的前沿性检测能力，得1分；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投标人具备食品转基因检测能力，得1分；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投标人具备农药残留快速筛查能力，得1分；</w:t>
            </w:r>
          </w:p>
          <w:p>
            <w:pPr>
              <w:snapToGrid w:val="0"/>
              <w:spacing w:line="288" w:lineRule="auto"/>
              <w:jc w:val="left"/>
              <w:rPr>
                <w:rFonts w:hint="eastAsia" w:eastAsia="宋体" w:asciiTheme="minorEastAsia" w:hAnsiTheme="minorEastAsia"/>
                <w:bCs/>
                <w:color w:val="auto"/>
                <w:sz w:val="24"/>
                <w:highlight w:val="none"/>
                <w:lang w:val="en-US" w:eastAsia="zh-CN"/>
              </w:rPr>
            </w:pPr>
            <w:r>
              <w:rPr>
                <w:rFonts w:hint="eastAsia" w:asciiTheme="minorEastAsia" w:hAnsiTheme="minorEastAsia"/>
                <w:bCs/>
                <w:color w:val="auto"/>
                <w:sz w:val="24"/>
                <w:highlight w:val="none"/>
              </w:rPr>
              <w:t>投标人具备牛羊肉等食品的真假鉴别能力，得1分</w:t>
            </w:r>
            <w:r>
              <w:rPr>
                <w:rFonts w:hint="eastAsia" w:asciiTheme="minorEastAsia" w:hAnsiTheme="minorEastAsia"/>
                <w:bCs/>
                <w:color w:val="auto"/>
                <w:sz w:val="24"/>
                <w:highlight w:val="none"/>
                <w:lang w:eastAsia="zh-CN"/>
              </w:rPr>
              <w:t>。</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备注：提供相关报告材料或证书或CMA能力认证等证明文件，其中报告材料是指有受食品安全监管部门委托非标检测的委托书或者检测报告，委托书或检测报告需要加盖委托部门的印章，没盖章的不得分）</w:t>
            </w:r>
          </w:p>
        </w:tc>
        <w:tc>
          <w:tcPr>
            <w:tcW w:w="405"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5分</w:t>
            </w:r>
          </w:p>
        </w:tc>
        <w:tc>
          <w:tcPr>
            <w:tcW w:w="393"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8" w:hRule="atLeast"/>
        </w:trPr>
        <w:tc>
          <w:tcPr>
            <w:tcW w:w="490" w:type="pct"/>
            <w:vAlign w:val="center"/>
          </w:tcPr>
          <w:p>
            <w:pPr>
              <w:snapToGrid w:val="0"/>
              <w:spacing w:line="288" w:lineRule="auto"/>
              <w:jc w:val="center"/>
              <w:rPr>
                <w:rFonts w:asciiTheme="minorEastAsia" w:hAnsiTheme="minorEastAsia"/>
                <w:b/>
                <w:color w:val="auto"/>
                <w:sz w:val="24"/>
                <w:highlight w:val="none"/>
              </w:rPr>
            </w:pPr>
            <w:r>
              <w:rPr>
                <w:rFonts w:hint="eastAsia" w:asciiTheme="minorEastAsia" w:hAnsiTheme="minorEastAsia"/>
                <w:b/>
                <w:color w:val="auto"/>
                <w:sz w:val="24"/>
                <w:highlight w:val="none"/>
              </w:rPr>
              <w:t>二</w:t>
            </w:r>
          </w:p>
        </w:tc>
        <w:tc>
          <w:tcPr>
            <w:tcW w:w="4509" w:type="pct"/>
            <w:gridSpan w:val="4"/>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asciiTheme="minorEastAsia" w:hAnsiTheme="minorEastAsia"/>
                <w:b/>
                <w:color w:val="auto"/>
                <w:sz w:val="24"/>
                <w:highlight w:val="none"/>
              </w:rPr>
              <w:t>商务部分（</w:t>
            </w:r>
            <w:r>
              <w:rPr>
                <w:rFonts w:hint="eastAsia" w:ascii="宋体" w:hAnsi="宋体"/>
                <w:b/>
                <w:color w:val="auto"/>
                <w:sz w:val="24"/>
                <w:highlight w:val="none"/>
              </w:rPr>
              <w:t>合计</w:t>
            </w:r>
            <w:r>
              <w:rPr>
                <w:rFonts w:hint="eastAsia" w:ascii="宋体" w:hAnsi="宋体"/>
                <w:b/>
                <w:color w:val="auto"/>
                <w:sz w:val="24"/>
                <w:highlight w:val="none"/>
                <w:lang w:val="en-US" w:eastAsia="zh-CN"/>
              </w:rPr>
              <w:t>39</w:t>
            </w:r>
            <w:r>
              <w:rPr>
                <w:rFonts w:hint="eastAsia" w:ascii="宋体" w:hAnsi="宋体"/>
                <w:b/>
                <w:color w:val="auto"/>
                <w:sz w:val="24"/>
                <w:highlight w:val="none"/>
              </w:rPr>
              <w:t>分</w:t>
            </w:r>
            <w:r>
              <w:rPr>
                <w:rFonts w:hint="eastAsia" w:asciiTheme="minorEastAsia" w:hAnsiTheme="minorEastAsia"/>
                <w:b/>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pStyle w:val="24"/>
              <w:numPr>
                <w:ilvl w:val="0"/>
                <w:numId w:val="30"/>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2018年至今同类业绩经验</w:t>
            </w:r>
          </w:p>
        </w:tc>
        <w:tc>
          <w:tcPr>
            <w:tcW w:w="2928" w:type="pct"/>
            <w:vAlign w:val="center"/>
          </w:tcPr>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2018年至今（以合同实施时间为准）承担过同类项目业绩，每提供一份合同业绩得1分，本项最高得9分。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备注：提供以下证明材料：合同及中标通知书复印件并加盖投标人公章，无或其他情况得0分。</w:t>
            </w:r>
          </w:p>
        </w:tc>
        <w:tc>
          <w:tcPr>
            <w:tcW w:w="405" w:type="pct"/>
            <w:vAlign w:val="center"/>
          </w:tcPr>
          <w:p>
            <w:pPr>
              <w:snapToGrid w:val="0"/>
              <w:spacing w:line="288" w:lineRule="auto"/>
              <w:jc w:val="center"/>
              <w:rPr>
                <w:rFonts w:cs="宋体" w:asciiTheme="minorEastAsia" w:hAnsiTheme="minorEastAsia"/>
                <w:color w:val="auto"/>
                <w:sz w:val="24"/>
                <w:highlight w:val="none"/>
              </w:rPr>
            </w:pPr>
            <w:r>
              <w:rPr>
                <w:rFonts w:hint="eastAsia" w:asciiTheme="minorEastAsia" w:hAnsiTheme="minorEastAsia"/>
                <w:bCs/>
                <w:color w:val="auto"/>
                <w:sz w:val="24"/>
                <w:highlight w:val="none"/>
              </w:rPr>
              <w:t>9分</w:t>
            </w:r>
          </w:p>
        </w:tc>
        <w:tc>
          <w:tcPr>
            <w:tcW w:w="393" w:type="pct"/>
            <w:vAlign w:val="center"/>
          </w:tcPr>
          <w:p>
            <w:pPr>
              <w:snapToGrid w:val="0"/>
              <w:spacing w:line="288" w:lineRule="auto"/>
              <w:jc w:val="center"/>
              <w:rPr>
                <w:rFonts w:cs="宋体" w:asciiTheme="minorEastAsia" w:hAnsiTheme="minorEastAsia"/>
                <w:color w:val="auto"/>
                <w:sz w:val="24"/>
                <w:highlight w:val="none"/>
              </w:rPr>
            </w:pPr>
            <w:r>
              <w:rPr>
                <w:rFonts w:hint="eastAsia" w:asciiTheme="minorEastAsia" w:hAnsiTheme="minorEastAsia"/>
                <w:bCs/>
                <w:color w:val="auto"/>
                <w:sz w:val="24"/>
                <w:highlight w:val="none"/>
              </w:rPr>
              <w:t>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pStyle w:val="24"/>
              <w:numPr>
                <w:ilvl w:val="0"/>
                <w:numId w:val="30"/>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服务响应</w:t>
            </w:r>
          </w:p>
        </w:tc>
        <w:tc>
          <w:tcPr>
            <w:tcW w:w="2928" w:type="pct"/>
            <w:vAlign w:val="center"/>
          </w:tcPr>
          <w:p>
            <w:pPr>
              <w:numPr>
                <w:ilvl w:val="0"/>
                <w:numId w:val="31"/>
              </w:num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应采购人要求准时到达指定地点；（提供承诺书并加盖投标人盖章）；</w:t>
            </w:r>
          </w:p>
          <w:p>
            <w:pPr>
              <w:numPr>
                <w:ilvl w:val="0"/>
                <w:numId w:val="31"/>
              </w:num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能同时提供4个以上抽样小组开展抽样；（提供相关人员证明材料、人员的抽样上岗证证书复印件，及2020年3月的社保加盖投标人公章）；</w:t>
            </w:r>
          </w:p>
          <w:p>
            <w:pPr>
              <w:numPr>
                <w:ilvl w:val="0"/>
                <w:numId w:val="31"/>
              </w:num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能在抽样之日起15个工作日出具检验报告；（提供承诺书并加盖投标人公章）；</w:t>
            </w:r>
          </w:p>
          <w:p>
            <w:pPr>
              <w:numPr>
                <w:ilvl w:val="0"/>
                <w:numId w:val="31"/>
              </w:num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应急响应时能在2小时内到达采购人指定地点；（提供承诺书并加盖投标人公章）；</w:t>
            </w:r>
          </w:p>
          <w:p>
            <w:pPr>
              <w:numPr>
                <w:ilvl w:val="0"/>
                <w:numId w:val="31"/>
              </w:num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有一份合同业绩证明投标人的应急响应服务经验。（提供相关合同或中标通知书为证明材料）；</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备注：每满足上述一项得1分，每一项承诺内容或证明材料优于采购人要求的另外加</w:t>
            </w:r>
            <w:r>
              <w:rPr>
                <w:rFonts w:hint="eastAsia" w:asciiTheme="minorEastAsia" w:hAnsiTheme="minorEastAsia"/>
                <w:bCs/>
                <w:color w:val="auto"/>
                <w:sz w:val="24"/>
                <w:highlight w:val="none"/>
                <w:lang w:val="en-US" w:eastAsia="zh-CN"/>
              </w:rPr>
              <w:t>0.4</w:t>
            </w:r>
            <w:r>
              <w:rPr>
                <w:rFonts w:hint="eastAsia" w:asciiTheme="minorEastAsia" w:hAnsiTheme="minorEastAsia"/>
                <w:bCs/>
                <w:color w:val="auto"/>
                <w:sz w:val="24"/>
                <w:highlight w:val="none"/>
              </w:rPr>
              <w:t>分，累计最高得</w:t>
            </w:r>
            <w:r>
              <w:rPr>
                <w:rFonts w:hint="eastAsia" w:asciiTheme="minorEastAsia" w:hAnsiTheme="minorEastAsia"/>
                <w:bCs/>
                <w:color w:val="auto"/>
                <w:sz w:val="24"/>
                <w:highlight w:val="none"/>
                <w:lang w:val="en-US" w:eastAsia="zh-CN"/>
              </w:rPr>
              <w:t>7</w:t>
            </w:r>
            <w:r>
              <w:rPr>
                <w:rFonts w:hint="eastAsia" w:asciiTheme="minorEastAsia" w:hAnsiTheme="minorEastAsia"/>
                <w:bCs/>
                <w:color w:val="auto"/>
                <w:sz w:val="24"/>
                <w:highlight w:val="none"/>
              </w:rPr>
              <w:t>分。</w:t>
            </w:r>
          </w:p>
        </w:tc>
        <w:tc>
          <w:tcPr>
            <w:tcW w:w="405"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lang w:val="en-US" w:eastAsia="zh-CN"/>
              </w:rPr>
              <w:t>7</w:t>
            </w:r>
            <w:r>
              <w:rPr>
                <w:rFonts w:hint="eastAsia" w:asciiTheme="minorEastAsia" w:hAnsiTheme="minorEastAsia"/>
                <w:bCs/>
                <w:color w:val="auto"/>
                <w:sz w:val="24"/>
                <w:highlight w:val="none"/>
              </w:rPr>
              <w:t>分</w:t>
            </w:r>
          </w:p>
        </w:tc>
        <w:tc>
          <w:tcPr>
            <w:tcW w:w="393"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lang w:val="en-US" w:eastAsia="zh-CN"/>
              </w:rPr>
              <w:t>7</w:t>
            </w:r>
            <w:r>
              <w:rPr>
                <w:rFonts w:hint="eastAsia" w:asciiTheme="minorEastAsia" w:hAnsiTheme="minorEastAsia"/>
                <w:bCs/>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pStyle w:val="24"/>
              <w:numPr>
                <w:ilvl w:val="0"/>
                <w:numId w:val="30"/>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应急响应</w:t>
            </w:r>
          </w:p>
        </w:tc>
        <w:tc>
          <w:tcPr>
            <w:tcW w:w="2928" w:type="pct"/>
            <w:vAlign w:val="center"/>
          </w:tcPr>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投标人及时响应采购人并参与各项食品应急抽检任务，且及时将样品送达实验室：</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在90分钟内送达的，得6分；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（90-120]分钟内到达的，得4分；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（120-180]分钟内达到的，得2分；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超过180分钟到达的不得分。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备注：提供承诺函及论述材料作为证明。承诺函及论述材料需一并提供并加盖投标人公章，论述材料作为承诺函的辅助材料，需根据响应时间等承诺内容，进行支持论述，论述内容合理可行方可得分，不合理、不可行则不得分。</w:t>
            </w:r>
          </w:p>
        </w:tc>
        <w:tc>
          <w:tcPr>
            <w:tcW w:w="405" w:type="pct"/>
            <w:vAlign w:val="center"/>
          </w:tcPr>
          <w:p>
            <w:pPr>
              <w:snapToGrid w:val="0"/>
              <w:spacing w:line="288" w:lineRule="auto"/>
              <w:ind w:left="-74" w:leftChars="-37" w:right="-70" w:rightChars="-35"/>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6分</w:t>
            </w:r>
          </w:p>
        </w:tc>
        <w:tc>
          <w:tcPr>
            <w:tcW w:w="393" w:type="pct"/>
            <w:vAlign w:val="center"/>
          </w:tcPr>
          <w:p>
            <w:pPr>
              <w:snapToGrid w:val="0"/>
              <w:spacing w:line="288" w:lineRule="auto"/>
              <w:ind w:left="-74" w:leftChars="-37" w:right="-70" w:rightChars="-35"/>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pStyle w:val="24"/>
              <w:numPr>
                <w:ilvl w:val="0"/>
                <w:numId w:val="30"/>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投标人信用状况及企业实力</w:t>
            </w:r>
          </w:p>
        </w:tc>
        <w:tc>
          <w:tcPr>
            <w:tcW w:w="2928" w:type="pct"/>
            <w:vAlign w:val="center"/>
          </w:tcPr>
          <w:p>
            <w:pPr>
              <w:pStyle w:val="24"/>
              <w:numPr>
                <w:ilvl w:val="0"/>
                <w:numId w:val="32"/>
              </w:numPr>
              <w:snapToGrid w:val="0"/>
              <w:spacing w:line="288" w:lineRule="auto"/>
              <w:ind w:right="-70" w:rightChars="-35"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投标人须提供信用报告（信用报告须在有效期内）由中国人民银行或合法第三方信用服务机构出具的企业信用报告</w:t>
            </w:r>
            <w:r>
              <w:rPr>
                <w:rFonts w:hint="eastAsia" w:cs="宋体" w:asciiTheme="minorEastAsia" w:hAnsiTheme="minorEastAsia"/>
                <w:color w:val="auto"/>
                <w:sz w:val="24"/>
                <w:highlight w:val="none"/>
              </w:rPr>
              <w:t>，</w:t>
            </w:r>
            <w:r>
              <w:rPr>
                <w:rFonts w:hint="eastAsia" w:cs="宋体" w:asciiTheme="minorEastAsia" w:hAnsiTheme="minorEastAsia" w:eastAsiaTheme="minorEastAsia"/>
                <w:color w:val="auto"/>
                <w:sz w:val="24"/>
                <w:highlight w:val="none"/>
              </w:rPr>
              <w:t>得3分；</w:t>
            </w:r>
          </w:p>
          <w:p>
            <w:pPr>
              <w:snapToGrid w:val="0"/>
              <w:spacing w:line="288" w:lineRule="auto"/>
              <w:ind w:left="-74" w:leftChars="-37" w:right="-70" w:rightChars="-35"/>
              <w:jc w:val="left"/>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备注：信用报告须由中国人民银行征信中心或合法第三方信用服务机构出具。投标文件中需提供信用报告复印件并加盖公章，如为第三方信用服务机构出具的，另外须附上该信用机构在法律法规规定的监管部门或行业主管部门（中国人民银行等部门）进行备案的相关证明资料。</w:t>
            </w:r>
          </w:p>
          <w:p>
            <w:pPr>
              <w:pStyle w:val="24"/>
              <w:numPr>
                <w:ilvl w:val="0"/>
                <w:numId w:val="32"/>
              </w:numPr>
              <w:snapToGrid w:val="0"/>
              <w:spacing w:line="288" w:lineRule="auto"/>
              <w:ind w:right="-70" w:rightChars="-35"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获得高新技术企业证书，得1分。</w:t>
            </w:r>
          </w:p>
          <w:p>
            <w:pPr>
              <w:snapToGrid w:val="0"/>
              <w:spacing w:line="288" w:lineRule="auto"/>
              <w:ind w:left="-74" w:right="-70" w:rightChars="-35"/>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备注：提供证书复印件并加盖公章。</w:t>
            </w:r>
          </w:p>
          <w:p>
            <w:pPr>
              <w:pStyle w:val="24"/>
              <w:numPr>
                <w:ilvl w:val="0"/>
                <w:numId w:val="32"/>
              </w:numPr>
              <w:snapToGrid w:val="0"/>
              <w:spacing w:line="288" w:lineRule="auto"/>
              <w:ind w:right="-70" w:rightChars="-35"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获得守合同重信用证书得1分。</w:t>
            </w:r>
          </w:p>
          <w:p>
            <w:pPr>
              <w:snapToGrid w:val="0"/>
              <w:spacing w:line="288" w:lineRule="auto"/>
              <w:ind w:left="-74" w:right="-70" w:rightChars="-35"/>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备注：提供证书复印件并加盖公章。</w:t>
            </w:r>
          </w:p>
        </w:tc>
        <w:tc>
          <w:tcPr>
            <w:tcW w:w="405"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5分</w:t>
            </w:r>
          </w:p>
        </w:tc>
        <w:tc>
          <w:tcPr>
            <w:tcW w:w="393"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pStyle w:val="24"/>
              <w:numPr>
                <w:ilvl w:val="0"/>
                <w:numId w:val="30"/>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项目抽检的能力</w:t>
            </w:r>
          </w:p>
        </w:tc>
        <w:tc>
          <w:tcPr>
            <w:tcW w:w="2928" w:type="pct"/>
            <w:vAlign w:val="center"/>
          </w:tcPr>
          <w:p>
            <w:pPr>
              <w:pStyle w:val="24"/>
              <w:numPr>
                <w:ilvl w:val="0"/>
                <w:numId w:val="33"/>
              </w:numPr>
              <w:snapToGrid w:val="0"/>
              <w:spacing w:line="288" w:lineRule="auto"/>
              <w:ind w:right="-70" w:rightChars="-35" w:firstLineChars="0"/>
              <w:jc w:val="left"/>
              <w:rPr>
                <w:rFonts w:asciiTheme="minorEastAsia" w:hAnsiTheme="minorEastAsia"/>
                <w:color w:val="auto"/>
                <w:sz w:val="24"/>
                <w:highlight w:val="none"/>
              </w:rPr>
            </w:pPr>
            <w:r>
              <w:rPr>
                <w:rFonts w:hint="eastAsia" w:asciiTheme="minorEastAsia" w:hAnsiTheme="minorEastAsia"/>
                <w:color w:val="auto"/>
                <w:sz w:val="24"/>
                <w:highlight w:val="none"/>
              </w:rPr>
              <w:t>投标人具有冷库的得3分；</w:t>
            </w:r>
          </w:p>
          <w:p>
            <w:pPr>
              <w:pStyle w:val="24"/>
              <w:numPr>
                <w:ilvl w:val="0"/>
                <w:numId w:val="33"/>
              </w:numPr>
              <w:snapToGrid w:val="0"/>
              <w:spacing w:line="288" w:lineRule="auto"/>
              <w:ind w:right="-70" w:rightChars="-35" w:firstLineChars="0"/>
              <w:jc w:val="left"/>
              <w:rPr>
                <w:rFonts w:asciiTheme="minorEastAsia" w:hAnsiTheme="minorEastAsia"/>
                <w:color w:val="auto"/>
                <w:sz w:val="24"/>
                <w:highlight w:val="none"/>
              </w:rPr>
            </w:pPr>
            <w:r>
              <w:rPr>
                <w:rFonts w:hint="eastAsia" w:asciiTheme="minorEastAsia" w:hAnsiTheme="minorEastAsia"/>
                <w:color w:val="auto"/>
                <w:sz w:val="24"/>
                <w:highlight w:val="none"/>
              </w:rPr>
              <w:t>投标人具有冷库车的得2分；</w:t>
            </w:r>
          </w:p>
          <w:p>
            <w:pPr>
              <w:snapToGrid w:val="0"/>
              <w:spacing w:line="288" w:lineRule="auto"/>
              <w:ind w:left="56" w:leftChars="28" w:right="-70" w:rightChars="-35"/>
              <w:jc w:val="left"/>
              <w:rPr>
                <w:rFonts w:asciiTheme="minorEastAsia" w:hAnsiTheme="minorEastAsia"/>
                <w:color w:val="auto"/>
                <w:sz w:val="24"/>
                <w:highlight w:val="none"/>
              </w:rPr>
            </w:pPr>
            <w:r>
              <w:rPr>
                <w:rFonts w:hint="eastAsia" w:asciiTheme="minorEastAsia" w:hAnsiTheme="minorEastAsia"/>
                <w:color w:val="auto"/>
                <w:sz w:val="24"/>
                <w:highlight w:val="none"/>
              </w:rPr>
              <w:t>3、投标人具有开展网络订餐（外卖）微生物项目抽检的能力，并在接样2小时内将项目所在地内抽取的样品送达实验室，得4分。</w:t>
            </w:r>
          </w:p>
          <w:p>
            <w:pPr>
              <w:snapToGrid w:val="0"/>
              <w:spacing w:line="288" w:lineRule="auto"/>
              <w:ind w:left="56" w:leftChars="28" w:right="-70" w:rightChars="-35"/>
              <w:jc w:val="left"/>
              <w:rPr>
                <w:rFonts w:asciiTheme="minorEastAsia" w:hAnsiTheme="minorEastAsia"/>
                <w:color w:val="auto"/>
                <w:sz w:val="24"/>
                <w:highlight w:val="none"/>
              </w:rPr>
            </w:pPr>
            <w:r>
              <w:rPr>
                <w:rFonts w:hint="eastAsia" w:asciiTheme="minorEastAsia" w:hAnsiTheme="minorEastAsia"/>
                <w:color w:val="auto"/>
                <w:sz w:val="24"/>
                <w:highlight w:val="none"/>
              </w:rPr>
              <w:t>备注：</w:t>
            </w:r>
          </w:p>
          <w:p>
            <w:pPr>
              <w:pStyle w:val="24"/>
              <w:numPr>
                <w:ilvl w:val="0"/>
                <w:numId w:val="34"/>
              </w:numPr>
              <w:snapToGrid w:val="0"/>
              <w:spacing w:line="288" w:lineRule="auto"/>
              <w:ind w:right="-70" w:rightChars="-35" w:firstLineChars="0"/>
              <w:jc w:val="left"/>
              <w:rPr>
                <w:rFonts w:asciiTheme="minorEastAsia" w:hAnsiTheme="minorEastAsia"/>
                <w:b w:val="0"/>
                <w:bCs w:val="0"/>
                <w:color w:val="auto"/>
                <w:sz w:val="24"/>
                <w:highlight w:val="none"/>
              </w:rPr>
            </w:pPr>
            <w:r>
              <w:rPr>
                <w:rFonts w:hint="eastAsia" w:asciiTheme="minorEastAsia" w:hAnsiTheme="minorEastAsia"/>
                <w:b w:val="0"/>
                <w:bCs w:val="0"/>
                <w:color w:val="auto"/>
                <w:sz w:val="24"/>
                <w:highlight w:val="none"/>
              </w:rPr>
              <w:t>冷库</w:t>
            </w:r>
            <w:r>
              <w:rPr>
                <w:rFonts w:hint="eastAsia" w:asciiTheme="minorEastAsia" w:hAnsiTheme="minorEastAsia"/>
                <w:b w:val="0"/>
                <w:bCs w:val="0"/>
                <w:color w:val="auto"/>
                <w:sz w:val="24"/>
                <w:highlight w:val="none"/>
                <w:lang w:eastAsia="zh-CN"/>
              </w:rPr>
              <w:t>：提供投标人的冷库现场图片，如是自有的，提供房产证复印件；如是租赁的，提供投标人签订的冷库租赁合同（租赁期需含括本项目服务期），加盖投标人公章。</w:t>
            </w:r>
          </w:p>
          <w:p>
            <w:pPr>
              <w:pStyle w:val="24"/>
              <w:numPr>
                <w:ilvl w:val="0"/>
                <w:numId w:val="34"/>
              </w:numPr>
              <w:snapToGrid w:val="0"/>
              <w:spacing w:line="288" w:lineRule="auto"/>
              <w:ind w:right="-70" w:rightChars="-35" w:firstLineChars="0"/>
              <w:jc w:val="left"/>
              <w:rPr>
                <w:rFonts w:asciiTheme="minorEastAsia" w:hAnsiTheme="minorEastAsia"/>
                <w:color w:val="auto"/>
                <w:sz w:val="24"/>
                <w:highlight w:val="none"/>
              </w:rPr>
            </w:pPr>
            <w:r>
              <w:rPr>
                <w:rFonts w:hint="eastAsia" w:asciiTheme="minorEastAsia" w:hAnsiTheme="minorEastAsia"/>
                <w:color w:val="auto"/>
                <w:sz w:val="24"/>
                <w:highlight w:val="none"/>
              </w:rPr>
              <w:t>冷库车：</w:t>
            </w:r>
            <w:r>
              <w:rPr>
                <w:rFonts w:hint="eastAsia" w:asciiTheme="minorEastAsia" w:hAnsiTheme="minorEastAsia" w:eastAsiaTheme="minorEastAsia"/>
                <w:color w:val="auto"/>
                <w:sz w:val="24"/>
                <w:highlight w:val="none"/>
              </w:rPr>
              <w:t>如自有车辆，必须登记在投标人名下，且提供车辆购买发票、行驶证、机动车登记证书复印件并加盖公章。如租赁车辆，应提供租赁协议复印件（租赁期含括本项目服务期）及车辆照片并加盖公章。</w:t>
            </w:r>
          </w:p>
          <w:p>
            <w:pPr>
              <w:pStyle w:val="24"/>
              <w:numPr>
                <w:ilvl w:val="0"/>
                <w:numId w:val="34"/>
              </w:numPr>
              <w:snapToGrid w:val="0"/>
              <w:spacing w:line="288" w:lineRule="auto"/>
              <w:ind w:right="-70" w:rightChars="-35" w:firstLineChars="0"/>
              <w:jc w:val="left"/>
              <w:rPr>
                <w:rFonts w:asciiTheme="minorEastAsia" w:hAnsiTheme="minorEastAsia"/>
                <w:color w:val="auto"/>
                <w:sz w:val="24"/>
                <w:highlight w:val="none"/>
              </w:rPr>
            </w:pPr>
            <w:r>
              <w:rPr>
                <w:rFonts w:hint="eastAsia" w:asciiTheme="minorEastAsia" w:hAnsiTheme="minorEastAsia"/>
                <w:color w:val="auto"/>
                <w:sz w:val="24"/>
                <w:highlight w:val="none"/>
              </w:rPr>
              <w:t>微生物项目抽检能力：投标文件中须提供响应时间承诺函与佐证材料，</w:t>
            </w:r>
            <w:r>
              <w:rPr>
                <w:rFonts w:hint="eastAsia" w:asciiTheme="minorEastAsia" w:hAnsiTheme="minorEastAsia"/>
                <w:bCs/>
                <w:color w:val="auto"/>
                <w:sz w:val="24"/>
                <w:highlight w:val="none"/>
              </w:rPr>
              <w:t>承诺函及论述材料需一并提供并加盖投标人公章，论述材料作为承诺函的辅助材料，需根据响应时间等承诺内容，进行支持论述，论述内容合理可行方可得分，不合理、不可行则不得分。</w:t>
            </w:r>
            <w:r>
              <w:rPr>
                <w:rFonts w:hint="eastAsia" w:asciiTheme="minorEastAsia" w:hAnsiTheme="minorEastAsia"/>
                <w:color w:val="auto"/>
                <w:sz w:val="24"/>
                <w:highlight w:val="none"/>
              </w:rPr>
              <w:t>车载冰箱提供租赁合同（租赁期含括本项目服务期）或购买合同或发票等相关证明文件复印件。</w:t>
            </w:r>
          </w:p>
        </w:tc>
        <w:tc>
          <w:tcPr>
            <w:tcW w:w="405" w:type="pct"/>
            <w:vAlign w:val="center"/>
          </w:tcPr>
          <w:p>
            <w:pPr>
              <w:snapToGrid w:val="0"/>
              <w:spacing w:line="288" w:lineRule="auto"/>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9分</w:t>
            </w:r>
          </w:p>
        </w:tc>
        <w:tc>
          <w:tcPr>
            <w:tcW w:w="393" w:type="pct"/>
            <w:vAlign w:val="center"/>
          </w:tcPr>
          <w:p>
            <w:pPr>
              <w:snapToGrid w:val="0"/>
              <w:spacing w:line="288" w:lineRule="auto"/>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pStyle w:val="24"/>
              <w:numPr>
                <w:ilvl w:val="0"/>
                <w:numId w:val="30"/>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检验结果</w:t>
            </w:r>
          </w:p>
        </w:tc>
        <w:tc>
          <w:tcPr>
            <w:tcW w:w="2928" w:type="pct"/>
            <w:vAlign w:val="center"/>
          </w:tcPr>
          <w:p>
            <w:pPr>
              <w:snapToGrid w:val="0"/>
              <w:spacing w:line="288" w:lineRule="auto"/>
              <w:jc w:val="left"/>
              <w:rPr>
                <w:rFonts w:asciiTheme="minorEastAsia" w:hAnsiTheme="minorEastAsia" w:eastAsiaTheme="minorEastAsia"/>
                <w:color w:val="auto"/>
                <w:sz w:val="24"/>
                <w:highlight w:val="none"/>
              </w:rPr>
            </w:pPr>
            <w:r>
              <w:rPr>
                <w:rFonts w:hint="eastAsia" w:asciiTheme="minorEastAsia" w:hAnsiTheme="minorEastAsia"/>
                <w:color w:val="auto"/>
                <w:sz w:val="24"/>
                <w:highlight w:val="none"/>
              </w:rPr>
              <w:t>投标人</w:t>
            </w:r>
            <w:r>
              <w:rPr>
                <w:rFonts w:hint="eastAsia" w:asciiTheme="minorEastAsia" w:hAnsiTheme="minorEastAsia" w:eastAsiaTheme="minorEastAsia"/>
                <w:color w:val="auto"/>
                <w:sz w:val="24"/>
                <w:highlight w:val="none"/>
              </w:rPr>
              <w:t>拥有安全有效的实验室信息化管理系统（LIMS），能</w:t>
            </w:r>
            <w:r>
              <w:rPr>
                <w:rFonts w:hint="eastAsia" w:asciiTheme="minorEastAsia" w:hAnsiTheme="minorEastAsia"/>
                <w:color w:val="auto"/>
                <w:sz w:val="24"/>
                <w:highlight w:val="none"/>
              </w:rPr>
              <w:t>在国家食品安全抽样检验信息系统中出具含电子签章的检验报告的，</w:t>
            </w:r>
            <w:r>
              <w:rPr>
                <w:rFonts w:hint="eastAsia" w:asciiTheme="minorEastAsia" w:hAnsiTheme="minorEastAsia" w:eastAsiaTheme="minorEastAsia"/>
                <w:color w:val="auto"/>
                <w:sz w:val="24"/>
                <w:highlight w:val="none"/>
              </w:rPr>
              <w:t xml:space="preserve">得 </w:t>
            </w:r>
            <w:r>
              <w:rPr>
                <w:rFonts w:hint="eastAsia" w:asciiTheme="minorEastAsia" w:hAnsiTheme="minorEastAsia"/>
                <w:color w:val="auto"/>
                <w:sz w:val="24"/>
                <w:highlight w:val="none"/>
              </w:rPr>
              <w:t>3</w:t>
            </w:r>
            <w:r>
              <w:rPr>
                <w:rFonts w:hint="eastAsia" w:asciiTheme="minorEastAsia" w:hAnsiTheme="minorEastAsia" w:eastAsiaTheme="minorEastAsia"/>
                <w:color w:val="auto"/>
                <w:sz w:val="24"/>
                <w:highlight w:val="none"/>
              </w:rPr>
              <w:t>分。</w:t>
            </w:r>
          </w:p>
          <w:p>
            <w:pPr>
              <w:snapToGrid w:val="0"/>
              <w:spacing w:line="288" w:lineRule="auto"/>
              <w:jc w:val="left"/>
              <w:rPr>
                <w:rFonts w:asciiTheme="minorEastAsia" w:hAnsiTheme="minorEastAsia"/>
                <w:color w:val="auto"/>
                <w:sz w:val="24"/>
                <w:highlight w:val="none"/>
              </w:rPr>
            </w:pPr>
            <w:r>
              <w:rPr>
                <w:rFonts w:hint="eastAsia" w:asciiTheme="minorEastAsia" w:hAnsiTheme="minorEastAsia"/>
                <w:color w:val="auto"/>
                <w:sz w:val="24"/>
                <w:highlight w:val="none"/>
              </w:rPr>
              <w:t>备注：投标人须提供系统截图并加盖公章。</w:t>
            </w:r>
          </w:p>
        </w:tc>
        <w:tc>
          <w:tcPr>
            <w:tcW w:w="405" w:type="pct"/>
            <w:vAlign w:val="center"/>
          </w:tcPr>
          <w:p>
            <w:pPr>
              <w:snapToGrid w:val="0"/>
              <w:spacing w:line="288" w:lineRule="auto"/>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3分</w:t>
            </w:r>
          </w:p>
        </w:tc>
        <w:tc>
          <w:tcPr>
            <w:tcW w:w="393" w:type="pct"/>
            <w:vAlign w:val="center"/>
          </w:tcPr>
          <w:p>
            <w:pPr>
              <w:snapToGrid w:val="0"/>
              <w:spacing w:line="288" w:lineRule="auto"/>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4" w:hRule="atLeast"/>
        </w:trPr>
        <w:tc>
          <w:tcPr>
            <w:tcW w:w="490"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三</w:t>
            </w:r>
          </w:p>
        </w:tc>
        <w:tc>
          <w:tcPr>
            <w:tcW w:w="4509" w:type="pct"/>
            <w:gridSpan w:val="4"/>
            <w:vAlign w:val="center"/>
          </w:tcPr>
          <w:p>
            <w:pPr>
              <w:snapToGrid w:val="0"/>
              <w:spacing w:line="288" w:lineRule="auto"/>
              <w:ind w:left="-74" w:leftChars="-37" w:right="-70" w:rightChars="-35"/>
              <w:jc w:val="center"/>
              <w:rPr>
                <w:rFonts w:ascii="宋体"/>
                <w:bCs/>
                <w:i/>
                <w:color w:val="auto"/>
                <w:sz w:val="24"/>
                <w:highlight w:val="none"/>
                <w:shd w:val="pct10" w:color="auto" w:fill="FFFFFF"/>
              </w:rPr>
            </w:pPr>
            <w:r>
              <w:rPr>
                <w:rFonts w:hint="eastAsia" w:asciiTheme="minorEastAsia" w:hAnsiTheme="minorEastAsia"/>
                <w:b/>
                <w:color w:val="auto"/>
                <w:sz w:val="24"/>
                <w:highlight w:val="none"/>
              </w:rPr>
              <w:t>价格部分（</w:t>
            </w:r>
            <w:r>
              <w:rPr>
                <w:rFonts w:hint="eastAsia" w:ascii="宋体" w:hAnsi="宋体"/>
                <w:b/>
                <w:color w:val="auto"/>
                <w:sz w:val="24"/>
                <w:highlight w:val="none"/>
              </w:rPr>
              <w:t>合计15分</w:t>
            </w:r>
            <w:r>
              <w:rPr>
                <w:rFonts w:hint="eastAsia" w:asciiTheme="minorEastAsia" w:hAnsiTheme="minorEastAsia"/>
                <w:b/>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pStyle w:val="24"/>
              <w:numPr>
                <w:ilvl w:val="0"/>
                <w:numId w:val="35"/>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投标报价</w:t>
            </w:r>
          </w:p>
        </w:tc>
        <w:tc>
          <w:tcPr>
            <w:tcW w:w="2928" w:type="pct"/>
            <w:vAlign w:val="center"/>
          </w:tcPr>
          <w:p>
            <w:pPr>
              <w:autoSpaceDE w:val="0"/>
              <w:autoSpaceDN w:val="0"/>
              <w:snapToGrid w:val="0"/>
              <w:spacing w:line="288" w:lineRule="auto"/>
              <w:rPr>
                <w:rFonts w:cs="宋体" w:asciiTheme="minorEastAsia" w:hAnsiTheme="minorEastAsia"/>
                <w:color w:val="auto"/>
                <w:sz w:val="24"/>
                <w:highlight w:val="none"/>
              </w:rPr>
            </w:pPr>
            <w:r>
              <w:rPr>
                <w:rFonts w:cs="宋体" w:asciiTheme="minorEastAsia" w:hAnsiTheme="minorEastAsia"/>
                <w:color w:val="auto"/>
                <w:sz w:val="24"/>
                <w:highlight w:val="none"/>
              </w:rPr>
              <w:t>价格分</w:t>
            </w:r>
            <w:r>
              <w:rPr>
                <w:rFonts w:hint="eastAsia" w:cs="宋体" w:asciiTheme="minorEastAsia" w:hAnsiTheme="minorEastAsia"/>
                <w:color w:val="auto"/>
                <w:sz w:val="24"/>
                <w:highlight w:val="none"/>
              </w:rPr>
              <w:t>应当采用低价优先法计算，即满足招标文件要求且投标价格最低的投标报价为评标基准价，其价格分为满分。其他投标人的价格分统一按照下列公式计算：</w:t>
            </w:r>
          </w:p>
          <w:p>
            <w:pPr>
              <w:widowControl/>
              <w:snapToGrid w:val="0"/>
              <w:spacing w:line="288" w:lineRule="auto"/>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投标报价得分=(评标基准价／投标报价)×100×权重</w:t>
            </w:r>
          </w:p>
          <w:p>
            <w:pPr>
              <w:widowControl/>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备注：</w:t>
            </w:r>
          </w:p>
          <w:p>
            <w:pPr>
              <w:pStyle w:val="24"/>
              <w:widowControl/>
              <w:numPr>
                <w:ilvl w:val="0"/>
                <w:numId w:val="36"/>
              </w:numPr>
              <w:snapToGrid w:val="0"/>
              <w:spacing w:line="288" w:lineRule="auto"/>
              <w:ind w:firstLineChars="0"/>
              <w:jc w:val="left"/>
              <w:rPr>
                <w:rFonts w:cs="宋体" w:asciiTheme="minorEastAsia" w:hAnsiTheme="minorEastAsia"/>
                <w:bCs/>
                <w:color w:val="auto"/>
                <w:sz w:val="24"/>
                <w:highlight w:val="none"/>
              </w:rPr>
            </w:pPr>
            <w:r>
              <w:rPr>
                <w:rFonts w:hint="eastAsia" w:asciiTheme="minorEastAsia" w:hAnsiTheme="minorEastAsia"/>
                <w:bCs/>
                <w:color w:val="auto"/>
                <w:sz w:val="24"/>
                <w:highlight w:val="none"/>
              </w:rPr>
              <w:t>因落实政府采购政策进行价格调整的，以调整后的价格计算评标基准价和投标报价</w:t>
            </w:r>
            <w:r>
              <w:rPr>
                <w:rFonts w:hint="eastAsia" w:cs="宋体" w:asciiTheme="minorEastAsia" w:hAnsiTheme="minorEastAsia"/>
                <w:bCs/>
                <w:color w:val="auto"/>
                <w:sz w:val="24"/>
                <w:highlight w:val="none"/>
              </w:rPr>
              <w:t>,详见《价格扣除》。</w:t>
            </w:r>
          </w:p>
          <w:p>
            <w:pPr>
              <w:pStyle w:val="24"/>
              <w:numPr>
                <w:ilvl w:val="0"/>
                <w:numId w:val="36"/>
              </w:numPr>
              <w:snapToGrid w:val="0"/>
              <w:spacing w:line="288" w:lineRule="auto"/>
              <w:ind w:firstLineChars="0"/>
              <w:rPr>
                <w:rFonts w:asciiTheme="minorEastAsia" w:hAnsiTheme="minorEastAsia"/>
                <w:bCs/>
                <w:color w:val="auto"/>
                <w:sz w:val="24"/>
                <w:highlight w:val="none"/>
                <w:shd w:val="pct10" w:color="auto" w:fill="FFFFFF"/>
              </w:rPr>
            </w:pPr>
            <w:r>
              <w:rPr>
                <w:rFonts w:hint="eastAsia" w:asciiTheme="minorEastAsia" w:hAnsiTheme="minorEastAsia"/>
                <w:bCs/>
                <w:color w:val="auto"/>
                <w:sz w:val="24"/>
                <w:highlight w:val="none"/>
              </w:rPr>
              <w:t>投标报价得分四舍五入后，</w:t>
            </w:r>
            <w:r>
              <w:rPr>
                <w:rFonts w:hint="eastAsia" w:cs="Arial" w:asciiTheme="minorEastAsia" w:hAnsiTheme="minorEastAsia"/>
                <w:bCs/>
                <w:color w:val="auto"/>
                <w:sz w:val="24"/>
                <w:highlight w:val="none"/>
              </w:rPr>
              <w:t>小数点后保留两位有效数</w:t>
            </w:r>
            <w:r>
              <w:rPr>
                <w:rFonts w:hint="eastAsia" w:asciiTheme="minorEastAsia" w:hAnsiTheme="minorEastAsia"/>
                <w:bCs/>
                <w:color w:val="auto"/>
                <w:sz w:val="24"/>
                <w:highlight w:val="none"/>
              </w:rPr>
              <w:t>；</w:t>
            </w:r>
          </w:p>
          <w:p>
            <w:pPr>
              <w:pStyle w:val="24"/>
              <w:numPr>
                <w:ilvl w:val="0"/>
                <w:numId w:val="36"/>
              </w:numPr>
              <w:snapToGrid w:val="0"/>
              <w:spacing w:line="288" w:lineRule="auto"/>
              <w:ind w:firstLineChars="0"/>
              <w:rPr>
                <w:rFonts w:cs="宋体" w:asciiTheme="minorEastAsia" w:hAnsiTheme="minorEastAsia"/>
                <w:color w:val="auto"/>
                <w:sz w:val="24"/>
                <w:highlight w:val="none"/>
              </w:rPr>
            </w:pPr>
            <w:r>
              <w:rPr>
                <w:rFonts w:hint="eastAsia" w:asciiTheme="minorEastAsia" w:hAnsiTheme="minorEastAsia"/>
                <w:bCs/>
                <w:color w:val="auto"/>
                <w:sz w:val="24"/>
                <w:highlight w:val="none"/>
              </w:rPr>
              <w:t>投标报价以“1-投标下浮率”进行价格评分的计算。</w:t>
            </w:r>
          </w:p>
        </w:tc>
        <w:tc>
          <w:tcPr>
            <w:tcW w:w="405" w:type="pct"/>
            <w:vAlign w:val="center"/>
          </w:tcPr>
          <w:p>
            <w:pPr>
              <w:snapToGrid w:val="0"/>
              <w:spacing w:line="288" w:lineRule="auto"/>
              <w:jc w:val="center"/>
              <w:rPr>
                <w:rFonts w:cs="宋体" w:asciiTheme="minorEastAsia" w:hAnsiTheme="minorEastAsia"/>
                <w:color w:val="auto"/>
                <w:sz w:val="24"/>
                <w:highlight w:val="none"/>
              </w:rPr>
            </w:pPr>
            <w:r>
              <w:rPr>
                <w:rFonts w:hint="eastAsia" w:asciiTheme="minorEastAsia" w:hAnsiTheme="minorEastAsia"/>
                <w:bCs/>
                <w:color w:val="auto"/>
                <w:sz w:val="24"/>
                <w:highlight w:val="none"/>
              </w:rPr>
              <w:t>15分</w:t>
            </w:r>
          </w:p>
        </w:tc>
        <w:tc>
          <w:tcPr>
            <w:tcW w:w="393" w:type="pct"/>
            <w:vAlign w:val="center"/>
          </w:tcPr>
          <w:p>
            <w:pPr>
              <w:snapToGrid w:val="0"/>
              <w:spacing w:line="288" w:lineRule="auto"/>
              <w:jc w:val="center"/>
              <w:rPr>
                <w:rFonts w:cs="宋体" w:asciiTheme="minorEastAsia" w:hAnsiTheme="minorEastAsia"/>
                <w:color w:val="auto"/>
                <w:sz w:val="24"/>
                <w:highlight w:val="none"/>
              </w:rPr>
            </w:pPr>
            <w:r>
              <w:rPr>
                <w:rFonts w:hint="eastAsia" w:asciiTheme="minorEastAsia" w:hAnsiTheme="minorEastAsia"/>
                <w:bCs/>
                <w:color w:val="auto"/>
                <w:sz w:val="24"/>
                <w:highlight w:val="none"/>
              </w:rPr>
              <w:t>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4200" w:type="pct"/>
            <w:gridSpan w:val="3"/>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asciiTheme="minorEastAsia" w:hAnsiTheme="minorEastAsia"/>
                <w:b/>
                <w:color w:val="auto"/>
                <w:sz w:val="24"/>
                <w:highlight w:val="none"/>
              </w:rPr>
              <w:t>合计</w:t>
            </w:r>
          </w:p>
        </w:tc>
        <w:tc>
          <w:tcPr>
            <w:tcW w:w="405" w:type="pct"/>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100分</w:t>
            </w:r>
          </w:p>
        </w:tc>
        <w:tc>
          <w:tcPr>
            <w:tcW w:w="393" w:type="pct"/>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100%</w:t>
            </w:r>
          </w:p>
        </w:tc>
      </w:tr>
    </w:tbl>
    <w:p>
      <w:pPr>
        <w:snapToGrid w:val="0"/>
        <w:spacing w:line="360" w:lineRule="auto"/>
        <w:rPr>
          <w:rFonts w:ascii="宋体" w:hAnsi="宋体"/>
          <w:bCs/>
          <w:color w:val="auto"/>
          <w:sz w:val="24"/>
          <w:highlight w:val="none"/>
        </w:rPr>
      </w:pPr>
    </w:p>
    <w:bookmarkEnd w:id="18"/>
    <w:p>
      <w:pPr>
        <w:widowControl/>
        <w:jc w:val="center"/>
        <w:outlineLvl w:val="3"/>
        <w:rPr>
          <w:rFonts w:ascii="黑体" w:hAnsi="宋体" w:eastAsia="黑体" w:cs="宋体"/>
          <w:color w:val="auto"/>
          <w:sz w:val="28"/>
          <w:szCs w:val="28"/>
          <w:highlight w:val="none"/>
        </w:rPr>
        <w:sectPr>
          <w:pgSz w:w="11906" w:h="16838"/>
          <w:pgMar w:top="1440" w:right="849" w:bottom="1440" w:left="993" w:header="851" w:footer="992" w:gutter="0"/>
          <w:cols w:space="720" w:num="1"/>
          <w:docGrid w:type="lines" w:linePitch="312" w:charSpace="0"/>
        </w:sectPr>
      </w:pPr>
      <w:bookmarkStart w:id="19" w:name="_Toc435514848"/>
    </w:p>
    <w:p>
      <w:pPr>
        <w:widowControl/>
        <w:jc w:val="center"/>
        <w:outlineLvl w:val="3"/>
        <w:rPr>
          <w:rFonts w:ascii="黑体" w:hAnsi="宋体" w:eastAsia="黑体" w:cs="宋体"/>
          <w:color w:val="auto"/>
          <w:sz w:val="28"/>
          <w:szCs w:val="28"/>
          <w:highlight w:val="none"/>
        </w:rPr>
      </w:pPr>
      <w:r>
        <w:rPr>
          <w:rFonts w:hint="eastAsia" w:ascii="黑体" w:hAnsi="宋体" w:eastAsia="黑体" w:cs="宋体"/>
          <w:color w:val="auto"/>
          <w:sz w:val="28"/>
          <w:szCs w:val="28"/>
          <w:highlight w:val="none"/>
        </w:rPr>
        <w:t>综合评分表（适用于包组二、三、四）</w:t>
      </w:r>
    </w:p>
    <w:p>
      <w:pPr>
        <w:widowControl/>
        <w:jc w:val="center"/>
        <w:outlineLvl w:val="3"/>
        <w:rPr>
          <w:rFonts w:ascii="黑体" w:hAnsi="宋体" w:eastAsia="黑体" w:cs="宋体"/>
          <w:color w:val="auto"/>
          <w:sz w:val="28"/>
          <w:szCs w:val="28"/>
          <w:highlight w:val="none"/>
        </w:rPr>
      </w:pPr>
    </w:p>
    <w:tbl>
      <w:tblPr>
        <w:tblStyle w:val="16"/>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008"/>
        <w:gridCol w:w="1608"/>
        <w:gridCol w:w="6021"/>
        <w:gridCol w:w="833"/>
        <w:gridCol w:w="81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序号</w:t>
            </w:r>
          </w:p>
        </w:tc>
        <w:tc>
          <w:tcPr>
            <w:tcW w:w="782" w:type="pct"/>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评审因素</w:t>
            </w:r>
          </w:p>
        </w:tc>
        <w:tc>
          <w:tcPr>
            <w:tcW w:w="2928" w:type="pct"/>
            <w:vAlign w:val="center"/>
          </w:tcPr>
          <w:p>
            <w:pPr>
              <w:snapToGrid w:val="0"/>
              <w:spacing w:line="288" w:lineRule="auto"/>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评分细则</w:t>
            </w:r>
          </w:p>
        </w:tc>
        <w:tc>
          <w:tcPr>
            <w:tcW w:w="405" w:type="pct"/>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分值</w:t>
            </w:r>
          </w:p>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（分）</w:t>
            </w:r>
          </w:p>
        </w:tc>
        <w:tc>
          <w:tcPr>
            <w:tcW w:w="393" w:type="pct"/>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权重</w:t>
            </w:r>
          </w:p>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trPr>
        <w:tc>
          <w:tcPr>
            <w:tcW w:w="490" w:type="pct"/>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一</w:t>
            </w:r>
          </w:p>
        </w:tc>
        <w:tc>
          <w:tcPr>
            <w:tcW w:w="4509" w:type="pct"/>
            <w:gridSpan w:val="4"/>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asciiTheme="minorEastAsia" w:hAnsiTheme="minorEastAsia"/>
                <w:b/>
                <w:color w:val="auto"/>
                <w:sz w:val="24"/>
                <w:highlight w:val="none"/>
              </w:rPr>
              <w:t>技术部分（</w:t>
            </w:r>
            <w:r>
              <w:rPr>
                <w:rFonts w:hint="eastAsia" w:ascii="宋体" w:hAnsi="宋体"/>
                <w:b/>
                <w:color w:val="auto"/>
                <w:sz w:val="24"/>
                <w:highlight w:val="none"/>
              </w:rPr>
              <w:t>合计</w:t>
            </w:r>
            <w:r>
              <w:rPr>
                <w:rFonts w:hint="eastAsia" w:ascii="宋体" w:hAnsi="宋体"/>
                <w:b/>
                <w:color w:val="auto"/>
                <w:sz w:val="24"/>
                <w:highlight w:val="none"/>
                <w:lang w:val="en-US" w:eastAsia="zh-CN"/>
              </w:rPr>
              <w:t>46</w:t>
            </w:r>
            <w:r>
              <w:rPr>
                <w:rFonts w:hint="eastAsia" w:ascii="宋体" w:hAnsi="宋体"/>
                <w:b/>
                <w:color w:val="auto"/>
                <w:sz w:val="24"/>
                <w:highlight w:val="none"/>
              </w:rPr>
              <w:t>分</w:t>
            </w:r>
            <w:r>
              <w:rPr>
                <w:rFonts w:hint="eastAsia" w:asciiTheme="minorEastAsia" w:hAnsiTheme="minorEastAsia"/>
                <w:b/>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tcBorders>
              <w:bottom w:val="single" w:color="auto" w:sz="4" w:space="0"/>
            </w:tcBorders>
            <w:vAlign w:val="center"/>
          </w:tcPr>
          <w:p>
            <w:pPr>
              <w:pStyle w:val="24"/>
              <w:numPr>
                <w:ilvl w:val="0"/>
                <w:numId w:val="37"/>
              </w:numPr>
              <w:snapToGrid w:val="0"/>
              <w:spacing w:line="288" w:lineRule="auto"/>
              <w:ind w:firstLineChars="0"/>
              <w:jc w:val="center"/>
              <w:rPr>
                <w:rFonts w:asciiTheme="minorEastAsia" w:hAnsiTheme="minorEastAsia"/>
                <w:color w:val="auto"/>
                <w:sz w:val="24"/>
                <w:highlight w:val="none"/>
              </w:rPr>
            </w:pPr>
          </w:p>
        </w:tc>
        <w:tc>
          <w:tcPr>
            <w:tcW w:w="782" w:type="pct"/>
            <w:tcBorders>
              <w:bottom w:val="single" w:color="auto" w:sz="4" w:space="0"/>
            </w:tcBorders>
            <w:vAlign w:val="center"/>
          </w:tcPr>
          <w:p>
            <w:pPr>
              <w:snapToGrid w:val="0"/>
              <w:spacing w:line="288" w:lineRule="auto"/>
              <w:jc w:val="center"/>
              <w:rPr>
                <w:rFonts w:hint="eastAsia" w:eastAsia="宋体" w:asciiTheme="minorEastAsia" w:hAnsiTheme="minorEastAsia"/>
                <w:bCs/>
                <w:color w:val="auto"/>
                <w:sz w:val="24"/>
                <w:highlight w:val="none"/>
                <w:lang w:eastAsia="zh-CN"/>
              </w:rPr>
            </w:pPr>
            <w:r>
              <w:rPr>
                <w:rFonts w:hint="eastAsia" w:asciiTheme="minorEastAsia" w:hAnsiTheme="minorEastAsia" w:eastAsiaTheme="minorEastAsia"/>
                <w:bCs/>
                <w:color w:val="auto"/>
                <w:sz w:val="24"/>
                <w:highlight w:val="none"/>
                <w:lang w:eastAsia="zh-CN"/>
              </w:rPr>
              <w:t>服务方案</w:t>
            </w:r>
          </w:p>
        </w:tc>
        <w:tc>
          <w:tcPr>
            <w:tcW w:w="2928" w:type="pct"/>
            <w:vAlign w:val="center"/>
          </w:tcPr>
          <w:p>
            <w:pPr>
              <w:snapToGrid w:val="0"/>
              <w:spacing w:line="288" w:lineRule="auto"/>
              <w:jc w:val="left"/>
              <w:rPr>
                <w:rFonts w:hint="eastAsia" w:asciiTheme="minorEastAsia" w:hAnsiTheme="minorEastAsia"/>
                <w:bCs/>
                <w:color w:val="auto"/>
                <w:sz w:val="24"/>
                <w:highlight w:val="none"/>
              </w:rPr>
            </w:pPr>
            <w:r>
              <w:rPr>
                <w:rFonts w:hint="eastAsia" w:asciiTheme="minorEastAsia" w:hAnsiTheme="minorEastAsia"/>
                <w:bCs/>
                <w:color w:val="auto"/>
                <w:sz w:val="24"/>
                <w:highlight w:val="none"/>
              </w:rPr>
              <w:t>对投标人的服务方案进行评审，方案包含但不仅限于人员配备方案、食品宣传服务方案、采购项目台账制度、项目过程资料存档制度进行评审。</w:t>
            </w:r>
          </w:p>
          <w:p>
            <w:pPr>
              <w:snapToGrid w:val="0"/>
              <w:spacing w:line="288" w:lineRule="auto"/>
              <w:jc w:val="left"/>
              <w:rPr>
                <w:rFonts w:hint="eastAsia" w:asciiTheme="minorEastAsia" w:hAnsiTheme="minorEastAsia"/>
                <w:bCs/>
                <w:color w:val="auto"/>
                <w:sz w:val="24"/>
                <w:highlight w:val="none"/>
              </w:rPr>
            </w:pPr>
            <w:r>
              <w:rPr>
                <w:rFonts w:hint="eastAsia" w:asciiTheme="minorEastAsia" w:hAnsiTheme="minorEastAsia"/>
                <w:bCs/>
                <w:color w:val="auto"/>
                <w:sz w:val="24"/>
                <w:highlight w:val="none"/>
              </w:rPr>
              <w:t>服务方案合理、可操作性强，架构完整，完全满足项目要求,得</w:t>
            </w:r>
            <w:r>
              <w:rPr>
                <w:rFonts w:hint="eastAsia" w:asciiTheme="minorEastAsia" w:hAnsiTheme="minorEastAsia"/>
                <w:bCs/>
                <w:color w:val="auto"/>
                <w:sz w:val="24"/>
                <w:highlight w:val="none"/>
                <w:lang w:val="en-US" w:eastAsia="zh-CN"/>
              </w:rPr>
              <w:t>6</w:t>
            </w:r>
            <w:r>
              <w:rPr>
                <w:rFonts w:hint="eastAsia" w:asciiTheme="minorEastAsia" w:hAnsiTheme="minorEastAsia"/>
                <w:bCs/>
                <w:color w:val="auto"/>
                <w:sz w:val="24"/>
                <w:highlight w:val="none"/>
              </w:rPr>
              <w:t>分；</w:t>
            </w:r>
          </w:p>
          <w:p>
            <w:pPr>
              <w:snapToGrid w:val="0"/>
              <w:spacing w:line="288" w:lineRule="auto"/>
              <w:jc w:val="left"/>
              <w:rPr>
                <w:rFonts w:hint="eastAsia" w:asciiTheme="minorEastAsia" w:hAnsiTheme="minorEastAsia"/>
                <w:bCs/>
                <w:color w:val="auto"/>
                <w:sz w:val="24"/>
                <w:highlight w:val="none"/>
              </w:rPr>
            </w:pPr>
            <w:r>
              <w:rPr>
                <w:rFonts w:hint="eastAsia" w:asciiTheme="minorEastAsia" w:hAnsiTheme="minorEastAsia"/>
                <w:bCs/>
                <w:color w:val="auto"/>
                <w:sz w:val="24"/>
                <w:highlight w:val="none"/>
              </w:rPr>
              <w:t>服务方案较合理、可操作性较强，架构较齐全，基本满足项目要求,得3分；</w:t>
            </w:r>
          </w:p>
          <w:p>
            <w:pPr>
              <w:snapToGrid w:val="0"/>
              <w:spacing w:line="288" w:lineRule="auto"/>
              <w:jc w:val="left"/>
              <w:rPr>
                <w:rFonts w:hint="eastAsia" w:asciiTheme="minorEastAsia" w:hAnsiTheme="minorEastAsia"/>
                <w:bCs/>
                <w:color w:val="auto"/>
                <w:sz w:val="24"/>
                <w:highlight w:val="none"/>
              </w:rPr>
            </w:pPr>
            <w:r>
              <w:rPr>
                <w:rFonts w:hint="eastAsia" w:asciiTheme="minorEastAsia" w:hAnsiTheme="minorEastAsia"/>
                <w:bCs/>
                <w:color w:val="auto"/>
                <w:sz w:val="24"/>
                <w:highlight w:val="none"/>
              </w:rPr>
              <w:t>服务方案可操作性一般，架构不太完整，得1分。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备注：提供服务方案，不提供不得分。</w:t>
            </w:r>
          </w:p>
        </w:tc>
        <w:tc>
          <w:tcPr>
            <w:tcW w:w="405"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lang w:val="en-US" w:eastAsia="zh-CN"/>
              </w:rPr>
              <w:t>6</w:t>
            </w:r>
            <w:r>
              <w:rPr>
                <w:rFonts w:hint="eastAsia" w:asciiTheme="minorEastAsia" w:hAnsiTheme="minorEastAsia"/>
                <w:bCs/>
                <w:color w:val="auto"/>
                <w:sz w:val="24"/>
                <w:highlight w:val="none"/>
              </w:rPr>
              <w:t>分</w:t>
            </w:r>
          </w:p>
        </w:tc>
        <w:tc>
          <w:tcPr>
            <w:tcW w:w="393"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lang w:val="en-US" w:eastAsia="zh-CN"/>
              </w:rPr>
              <w:t>6</w:t>
            </w:r>
            <w:r>
              <w:rPr>
                <w:rFonts w:hint="eastAsia" w:asciiTheme="minorEastAsia" w:hAnsiTheme="minorEastAsia"/>
                <w:bCs/>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59" w:hRule="atLeast"/>
        </w:trPr>
        <w:tc>
          <w:tcPr>
            <w:tcW w:w="490" w:type="pct"/>
            <w:vMerge w:val="restart"/>
            <w:tcBorders>
              <w:top w:val="single" w:color="auto" w:sz="4" w:space="0"/>
            </w:tcBorders>
            <w:vAlign w:val="center"/>
          </w:tcPr>
          <w:p>
            <w:pPr>
              <w:pStyle w:val="24"/>
              <w:numPr>
                <w:ilvl w:val="0"/>
                <w:numId w:val="37"/>
              </w:numPr>
              <w:snapToGrid w:val="0"/>
              <w:spacing w:line="288" w:lineRule="auto"/>
              <w:ind w:firstLineChars="0"/>
              <w:jc w:val="center"/>
              <w:rPr>
                <w:rFonts w:asciiTheme="minorEastAsia" w:hAnsiTheme="minorEastAsia"/>
                <w:color w:val="auto"/>
                <w:sz w:val="24"/>
                <w:highlight w:val="none"/>
              </w:rPr>
            </w:pPr>
          </w:p>
        </w:tc>
        <w:tc>
          <w:tcPr>
            <w:tcW w:w="782" w:type="pct"/>
            <w:vMerge w:val="restart"/>
            <w:tcBorders>
              <w:top w:val="single" w:color="auto" w:sz="4" w:space="0"/>
            </w:tcBorders>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eastAsiaTheme="minorEastAsia"/>
                <w:bCs/>
                <w:color w:val="auto"/>
                <w:sz w:val="24"/>
                <w:highlight w:val="none"/>
              </w:rPr>
              <w:t>投标人检测能力</w:t>
            </w:r>
          </w:p>
        </w:tc>
        <w:tc>
          <w:tcPr>
            <w:tcW w:w="2928" w:type="pct"/>
            <w:vAlign w:val="center"/>
          </w:tcPr>
          <w:p>
            <w:pPr>
              <w:numPr>
                <w:ilvl w:val="0"/>
                <w:numId w:val="0"/>
              </w:numPr>
              <w:snapToGrid w:val="0"/>
              <w:spacing w:line="288" w:lineRule="auto"/>
              <w:jc w:val="left"/>
              <w:rPr>
                <w:rFonts w:asciiTheme="minorEastAsia" w:hAnsiTheme="minorEastAsia"/>
                <w:color w:val="auto"/>
                <w:sz w:val="24"/>
                <w:highlight w:val="none"/>
              </w:rPr>
            </w:pPr>
            <w:r>
              <w:rPr>
                <w:rFonts w:hint="eastAsia" w:asciiTheme="minorEastAsia" w:hAnsiTheme="minorEastAsia" w:eastAsiaTheme="minorEastAsia"/>
                <w:color w:val="auto"/>
                <w:sz w:val="24"/>
                <w:highlight w:val="none"/>
              </w:rPr>
              <w:t>获得中国合格评定国家认可委员会实验室认可证书 (CNAS)，</w:t>
            </w:r>
            <w:r>
              <w:rPr>
                <w:rFonts w:hint="eastAsia" w:asciiTheme="minorEastAsia" w:hAnsiTheme="minorEastAsia"/>
                <w:color w:val="auto"/>
                <w:sz w:val="24"/>
                <w:highlight w:val="none"/>
              </w:rPr>
              <w:t>得3分。</w:t>
            </w:r>
          </w:p>
          <w:p>
            <w:pPr>
              <w:snapToGrid w:val="0"/>
              <w:spacing w:line="288" w:lineRule="auto"/>
              <w:jc w:val="left"/>
              <w:rPr>
                <w:rFonts w:asciiTheme="minorEastAsia" w:hAnsiTheme="minorEastAsia"/>
                <w:color w:val="auto"/>
                <w:sz w:val="24"/>
                <w:highlight w:val="none"/>
              </w:rPr>
            </w:pPr>
            <w:r>
              <w:rPr>
                <w:rFonts w:hint="eastAsia" w:asciiTheme="minorEastAsia" w:hAnsiTheme="minorEastAsia" w:eastAsiaTheme="minorEastAsia"/>
                <w:color w:val="auto"/>
                <w:sz w:val="24"/>
                <w:highlight w:val="none"/>
              </w:rPr>
              <w:t>备注：提供有效期内的证书复印件并加盖投标人公章。</w:t>
            </w:r>
          </w:p>
        </w:tc>
        <w:tc>
          <w:tcPr>
            <w:tcW w:w="405"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3分</w:t>
            </w:r>
          </w:p>
        </w:tc>
        <w:tc>
          <w:tcPr>
            <w:tcW w:w="393"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7" w:hRule="atLeast"/>
        </w:trPr>
        <w:tc>
          <w:tcPr>
            <w:tcW w:w="490" w:type="pct"/>
            <w:vAlign w:val="center"/>
          </w:tcPr>
          <w:p>
            <w:pPr>
              <w:pStyle w:val="24"/>
              <w:numPr>
                <w:ilvl w:val="0"/>
                <w:numId w:val="37"/>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pacing w:line="273" w:lineRule="auto"/>
              <w:jc w:val="center"/>
              <w:rPr>
                <w:rFonts w:cs="宋体" w:asciiTheme="minorEastAsia" w:hAnsiTheme="minorEastAsia"/>
                <w:color w:val="auto"/>
                <w:sz w:val="24"/>
                <w:highlight w:val="none"/>
              </w:rPr>
            </w:pPr>
            <w:r>
              <w:rPr>
                <w:rFonts w:hint="eastAsia" w:asciiTheme="minorEastAsia" w:hAnsiTheme="minorEastAsia"/>
                <w:color w:val="auto"/>
                <w:sz w:val="24"/>
                <w:highlight w:val="none"/>
              </w:rPr>
              <w:t>检测项目承检完整度</w:t>
            </w:r>
          </w:p>
        </w:tc>
        <w:tc>
          <w:tcPr>
            <w:tcW w:w="2928" w:type="pct"/>
            <w:vAlign w:val="center"/>
          </w:tcPr>
          <w:p>
            <w:pPr>
              <w:snapToGrid w:val="0"/>
              <w:spacing w:line="288" w:lineRule="auto"/>
              <w:jc w:val="left"/>
              <w:rPr>
                <w:rFonts w:asciiTheme="minorEastAsia" w:hAnsiTheme="minorEastAsia"/>
                <w:color w:val="auto"/>
                <w:sz w:val="24"/>
                <w:highlight w:val="none"/>
              </w:rPr>
            </w:pPr>
            <w:r>
              <w:rPr>
                <w:rFonts w:hint="eastAsia" w:asciiTheme="minorEastAsia" w:hAnsiTheme="minorEastAsia"/>
                <w:color w:val="auto"/>
                <w:sz w:val="24"/>
                <w:highlight w:val="none"/>
              </w:rPr>
              <w:t>能够承检的检验项目（附件2《</w:t>
            </w:r>
            <w:r>
              <w:rPr>
                <w:rFonts w:hint="eastAsia" w:asciiTheme="minorEastAsia" w:hAnsiTheme="minorEastAsia" w:eastAsiaTheme="minorEastAsia"/>
                <w:color w:val="auto"/>
                <w:sz w:val="24"/>
                <w:highlight w:val="none"/>
              </w:rPr>
              <w:t>开平市市场监管局除食用农产品外的其他食品类别检验项目响应表</w:t>
            </w:r>
            <w:r>
              <w:rPr>
                <w:rFonts w:hint="eastAsia" w:asciiTheme="minorEastAsia" w:hAnsiTheme="minorEastAsia"/>
                <w:color w:val="auto"/>
                <w:sz w:val="24"/>
                <w:highlight w:val="none"/>
              </w:rPr>
              <w:t>》）：</w:t>
            </w:r>
            <w:r>
              <w:rPr>
                <w:rFonts w:hint="eastAsia" w:asciiTheme="minorEastAsia" w:hAnsiTheme="minorEastAsia"/>
                <w:color w:val="auto"/>
                <w:sz w:val="24"/>
                <w:highlight w:val="none"/>
              </w:rPr>
              <w:br w:type="textWrapping"/>
            </w:r>
            <w:r>
              <w:rPr>
                <w:rFonts w:hint="eastAsia" w:asciiTheme="minorEastAsia" w:hAnsiTheme="minorEastAsia"/>
                <w:color w:val="auto"/>
                <w:sz w:val="24"/>
                <w:highlight w:val="none"/>
              </w:rPr>
              <w:t>覆盖率达到[99%-100%]的得8分；</w:t>
            </w:r>
          </w:p>
          <w:p>
            <w:pPr>
              <w:snapToGrid w:val="0"/>
              <w:spacing w:line="288" w:lineRule="auto"/>
              <w:jc w:val="left"/>
              <w:rPr>
                <w:rFonts w:asciiTheme="minorEastAsia" w:hAnsiTheme="minorEastAsia"/>
                <w:color w:val="auto"/>
                <w:sz w:val="24"/>
                <w:highlight w:val="none"/>
              </w:rPr>
            </w:pPr>
            <w:r>
              <w:rPr>
                <w:rFonts w:hint="eastAsia" w:asciiTheme="minorEastAsia" w:hAnsiTheme="minorEastAsia"/>
                <w:color w:val="auto"/>
                <w:sz w:val="24"/>
                <w:highlight w:val="none"/>
              </w:rPr>
              <w:t>覆盖率达到[95%－99%）的得6分；</w:t>
            </w:r>
          </w:p>
          <w:p>
            <w:pPr>
              <w:snapToGrid w:val="0"/>
              <w:spacing w:line="288" w:lineRule="auto"/>
              <w:jc w:val="left"/>
              <w:rPr>
                <w:rFonts w:asciiTheme="minorEastAsia" w:hAnsiTheme="minorEastAsia"/>
                <w:color w:val="auto"/>
                <w:sz w:val="24"/>
                <w:highlight w:val="none"/>
              </w:rPr>
            </w:pPr>
            <w:r>
              <w:rPr>
                <w:rFonts w:hint="eastAsia" w:asciiTheme="minorEastAsia" w:hAnsiTheme="minorEastAsia"/>
                <w:color w:val="auto"/>
                <w:sz w:val="24"/>
                <w:highlight w:val="none"/>
              </w:rPr>
              <w:t>覆盖率达到[90%－95%）的得2分；</w:t>
            </w:r>
          </w:p>
          <w:p>
            <w:pPr>
              <w:snapToGrid w:val="0"/>
              <w:spacing w:line="288" w:lineRule="auto"/>
              <w:jc w:val="left"/>
              <w:rPr>
                <w:rFonts w:asciiTheme="minorEastAsia" w:hAnsiTheme="minorEastAsia"/>
                <w:color w:val="auto"/>
                <w:sz w:val="24"/>
                <w:highlight w:val="none"/>
              </w:rPr>
            </w:pPr>
            <w:r>
              <w:rPr>
                <w:rFonts w:hint="eastAsia" w:asciiTheme="minorEastAsia" w:hAnsiTheme="minorEastAsia"/>
                <w:color w:val="auto"/>
                <w:sz w:val="24"/>
                <w:highlight w:val="none"/>
              </w:rPr>
              <w:t>覆盖率不足90%的，不得分。</w:t>
            </w:r>
          </w:p>
          <w:p>
            <w:pPr>
              <w:snapToGrid w:val="0"/>
              <w:spacing w:line="288" w:lineRule="auto"/>
              <w:jc w:val="left"/>
              <w:rPr>
                <w:rFonts w:asciiTheme="minorEastAsia" w:hAnsiTheme="minorEastAsia"/>
                <w:color w:val="auto"/>
                <w:sz w:val="24"/>
                <w:highlight w:val="none"/>
              </w:rPr>
            </w:pPr>
            <w:r>
              <w:rPr>
                <w:rFonts w:hint="eastAsia" w:asciiTheme="minorEastAsia" w:hAnsiTheme="minorEastAsia"/>
                <w:color w:val="auto"/>
                <w:sz w:val="24"/>
                <w:highlight w:val="none"/>
              </w:rPr>
              <w:t>备注：需附投标人CMA</w:t>
            </w:r>
            <w:r>
              <w:rPr>
                <w:rFonts w:hint="eastAsia" w:asciiTheme="minorEastAsia" w:hAnsiTheme="minorEastAsia"/>
                <w:color w:val="auto"/>
                <w:sz w:val="24"/>
                <w:highlight w:val="none"/>
                <w:lang w:eastAsia="zh-CN"/>
              </w:rPr>
              <w:t>或</w:t>
            </w:r>
            <w:r>
              <w:rPr>
                <w:rFonts w:hint="eastAsia" w:asciiTheme="minorEastAsia" w:hAnsiTheme="minorEastAsia"/>
                <w:color w:val="auto"/>
                <w:sz w:val="24"/>
                <w:highlight w:val="none"/>
                <w:lang w:val="en-US" w:eastAsia="zh-CN"/>
              </w:rPr>
              <w:t>CMAF</w:t>
            </w:r>
            <w:r>
              <w:rPr>
                <w:rFonts w:hint="eastAsia" w:asciiTheme="minorEastAsia" w:hAnsiTheme="minorEastAsia"/>
                <w:color w:val="auto"/>
                <w:sz w:val="24"/>
                <w:highlight w:val="none"/>
              </w:rPr>
              <w:t>附表并统计出覆盖率及相对应的响应表。</w:t>
            </w:r>
          </w:p>
        </w:tc>
        <w:tc>
          <w:tcPr>
            <w:tcW w:w="405"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8分</w:t>
            </w:r>
          </w:p>
        </w:tc>
        <w:tc>
          <w:tcPr>
            <w:tcW w:w="393"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pStyle w:val="24"/>
              <w:numPr>
                <w:ilvl w:val="0"/>
                <w:numId w:val="37"/>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eastAsiaTheme="minorEastAsia"/>
                <w:bCs/>
                <w:color w:val="auto"/>
                <w:sz w:val="24"/>
                <w:highlight w:val="none"/>
              </w:rPr>
              <w:t>实验室及配备仪器（机械）设备情况</w:t>
            </w:r>
          </w:p>
        </w:tc>
        <w:tc>
          <w:tcPr>
            <w:tcW w:w="2928" w:type="pct"/>
            <w:vAlign w:val="center"/>
          </w:tcPr>
          <w:p>
            <w:pPr>
              <w:pStyle w:val="24"/>
              <w:numPr>
                <w:ilvl w:val="1"/>
                <w:numId w:val="38"/>
              </w:numPr>
              <w:snapToGrid w:val="0"/>
              <w:spacing w:line="288" w:lineRule="auto"/>
              <w:ind w:left="0" w:hanging="63" w:firstLineChars="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投标人在江门地区内开设实验室或承诺中标后（自合同签订之日起6个月内）在江门地区开设实验室的</w:t>
            </w:r>
            <w:r>
              <w:rPr>
                <w:rFonts w:hint="eastAsia" w:asciiTheme="minorEastAsia" w:hAnsiTheme="minorEastAsia"/>
                <w:color w:val="auto"/>
                <w:sz w:val="24"/>
                <w:highlight w:val="none"/>
              </w:rPr>
              <w:t>，</w:t>
            </w:r>
            <w:r>
              <w:rPr>
                <w:rFonts w:hint="eastAsia" w:asciiTheme="minorEastAsia" w:hAnsiTheme="minorEastAsia" w:eastAsiaTheme="minorEastAsia"/>
                <w:color w:val="auto"/>
                <w:sz w:val="24"/>
                <w:highlight w:val="none"/>
              </w:rPr>
              <w:t>得</w:t>
            </w:r>
            <w:r>
              <w:rPr>
                <w:rFonts w:hint="eastAsia" w:asciiTheme="minorEastAsia" w:hAnsiTheme="minorEastAsia"/>
                <w:color w:val="auto"/>
                <w:sz w:val="24"/>
                <w:highlight w:val="none"/>
              </w:rPr>
              <w:t>4</w:t>
            </w:r>
            <w:r>
              <w:rPr>
                <w:rFonts w:hint="eastAsia" w:asciiTheme="minorEastAsia" w:hAnsiTheme="minorEastAsia" w:eastAsiaTheme="minorEastAsia"/>
                <w:color w:val="auto"/>
                <w:sz w:val="24"/>
                <w:highlight w:val="none"/>
              </w:rPr>
              <w:t>分；</w:t>
            </w:r>
          </w:p>
          <w:p>
            <w:pPr>
              <w:pStyle w:val="24"/>
              <w:numPr>
                <w:ilvl w:val="1"/>
                <w:numId w:val="38"/>
              </w:numPr>
              <w:snapToGrid w:val="0"/>
              <w:spacing w:line="288" w:lineRule="auto"/>
              <w:ind w:left="0" w:hanging="63" w:firstLineChars="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投标人在开平市内开设服务点或承诺中标后（自合同签订之日起1个月内）开设服务点，服务点配备2名技术人员及1辆检测车的，得4分。</w:t>
            </w:r>
          </w:p>
          <w:p>
            <w:pPr>
              <w:snapToGrid w:val="0"/>
              <w:spacing w:line="288" w:lineRule="auto"/>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备注：</w:t>
            </w:r>
          </w:p>
          <w:p>
            <w:pPr>
              <w:pStyle w:val="24"/>
              <w:numPr>
                <w:ilvl w:val="0"/>
                <w:numId w:val="39"/>
              </w:numPr>
              <w:snapToGrid w:val="0"/>
              <w:spacing w:line="288" w:lineRule="auto"/>
              <w:ind w:firstLineChars="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提供投标人的房产证或投标人签订的租赁合同（租赁期需含括本项目服务期）或国有资产划转移交协议书复印件或承诺函</w:t>
            </w:r>
            <w:r>
              <w:rPr>
                <w:rFonts w:hint="eastAsia" w:asciiTheme="minorEastAsia" w:hAnsiTheme="minorEastAsia"/>
                <w:color w:val="auto"/>
                <w:sz w:val="24"/>
                <w:highlight w:val="none"/>
              </w:rPr>
              <w:t>，</w:t>
            </w:r>
            <w:r>
              <w:rPr>
                <w:rFonts w:hint="eastAsia" w:asciiTheme="minorEastAsia" w:hAnsiTheme="minorEastAsia" w:eastAsiaTheme="minorEastAsia"/>
                <w:color w:val="auto"/>
                <w:sz w:val="24"/>
                <w:highlight w:val="none"/>
              </w:rPr>
              <w:t xml:space="preserve">加盖投标人公章。 </w:t>
            </w:r>
          </w:p>
          <w:p>
            <w:pPr>
              <w:pStyle w:val="24"/>
              <w:numPr>
                <w:ilvl w:val="0"/>
                <w:numId w:val="39"/>
              </w:numPr>
              <w:snapToGrid w:val="0"/>
              <w:spacing w:line="288" w:lineRule="auto"/>
              <w:ind w:firstLineChars="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服务点人员需提供投标截止之日前1个月（2020年3月）投标单位为其购买社保的证明材料（当地社保管理相关部门出具并盖章）。</w:t>
            </w:r>
          </w:p>
          <w:p>
            <w:pPr>
              <w:pStyle w:val="24"/>
              <w:numPr>
                <w:ilvl w:val="0"/>
                <w:numId w:val="39"/>
              </w:numPr>
              <w:snapToGrid w:val="0"/>
              <w:spacing w:line="288" w:lineRule="auto"/>
              <w:ind w:firstLineChars="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车辆要求：如自有车辆，必须登记在投标人名下，且提供车辆购买发票、行驶证、机动车登记证书复印件并加盖公章。如租赁车辆，应提供租赁协议复印件（租赁期含括本项目服务期）及车辆照片并加盖公章。</w:t>
            </w:r>
          </w:p>
          <w:p>
            <w:pPr>
              <w:snapToGrid w:val="0"/>
              <w:spacing w:line="288" w:lineRule="auto"/>
              <w:jc w:val="left"/>
              <w:rPr>
                <w:rFonts w:asciiTheme="minorEastAsia" w:hAnsiTheme="minorEastAsia"/>
                <w:color w:val="auto"/>
                <w:sz w:val="24"/>
                <w:highlight w:val="none"/>
              </w:rPr>
            </w:pPr>
            <w:r>
              <w:rPr>
                <w:rFonts w:hint="eastAsia" w:asciiTheme="minorEastAsia" w:hAnsiTheme="minorEastAsia"/>
                <w:color w:val="auto"/>
                <w:sz w:val="24"/>
                <w:highlight w:val="none"/>
                <w:lang w:val="en-US" w:eastAsia="zh-CN"/>
              </w:rPr>
              <w:t>3</w:t>
            </w:r>
            <w:r>
              <w:rPr>
                <w:rFonts w:hint="eastAsia" w:asciiTheme="minorEastAsia" w:hAnsiTheme="minorEastAsia"/>
                <w:color w:val="auto"/>
                <w:sz w:val="24"/>
                <w:highlight w:val="none"/>
              </w:rPr>
              <w:t>、设备齐全，具有气相色谱仪、液相色谱质谱联用仪(或液质质联用仪)、电感耦合等离子体质谱仪、气质质联用仪、原子吸收分光光度计、原子荧光分光光度计、二维气相色谱高分辨质谱联用仪。</w:t>
            </w:r>
          </w:p>
          <w:p>
            <w:pPr>
              <w:snapToGrid w:val="0"/>
              <w:spacing w:line="288" w:lineRule="auto"/>
              <w:jc w:val="left"/>
              <w:rPr>
                <w:rFonts w:asciiTheme="minorEastAsia" w:hAnsiTheme="minorEastAsia"/>
                <w:color w:val="auto"/>
                <w:sz w:val="24"/>
                <w:highlight w:val="none"/>
              </w:rPr>
            </w:pPr>
            <w:r>
              <w:rPr>
                <w:rFonts w:hint="eastAsia" w:asciiTheme="minorEastAsia" w:hAnsiTheme="minorEastAsia"/>
                <w:color w:val="auto"/>
                <w:sz w:val="24"/>
                <w:highlight w:val="none"/>
              </w:rPr>
              <w:t>设备齐全的得3分，每少一种设备的减0.5分。</w:t>
            </w:r>
          </w:p>
          <w:p>
            <w:pPr>
              <w:pStyle w:val="24"/>
              <w:numPr>
                <w:ilvl w:val="0"/>
                <w:numId w:val="0"/>
              </w:numPr>
              <w:snapToGrid w:val="0"/>
              <w:spacing w:line="288" w:lineRule="auto"/>
              <w:ind w:leftChars="0"/>
              <w:jc w:val="left"/>
              <w:rPr>
                <w:rFonts w:asciiTheme="minorEastAsia" w:hAnsiTheme="minorEastAsia" w:eastAsiaTheme="minorEastAsia"/>
                <w:color w:val="auto"/>
                <w:sz w:val="24"/>
                <w:highlight w:val="none"/>
              </w:rPr>
            </w:pPr>
            <w:r>
              <w:rPr>
                <w:rFonts w:hint="eastAsia" w:asciiTheme="minorEastAsia" w:hAnsiTheme="minorEastAsia"/>
                <w:color w:val="auto"/>
                <w:sz w:val="24"/>
                <w:highlight w:val="none"/>
              </w:rPr>
              <w:t>备注：提供设备清单和图片和购置发票等证明文件，加盖投标人公章。</w:t>
            </w:r>
          </w:p>
        </w:tc>
        <w:tc>
          <w:tcPr>
            <w:tcW w:w="405"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11分</w:t>
            </w:r>
          </w:p>
        </w:tc>
        <w:tc>
          <w:tcPr>
            <w:tcW w:w="393"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8" w:hRule="atLeast"/>
        </w:trPr>
        <w:tc>
          <w:tcPr>
            <w:tcW w:w="490" w:type="pct"/>
            <w:vAlign w:val="center"/>
          </w:tcPr>
          <w:p>
            <w:pPr>
              <w:pStyle w:val="24"/>
              <w:numPr>
                <w:ilvl w:val="0"/>
                <w:numId w:val="37"/>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实施方案</w:t>
            </w:r>
          </w:p>
        </w:tc>
        <w:tc>
          <w:tcPr>
            <w:tcW w:w="2928" w:type="pct"/>
            <w:vAlign w:val="center"/>
          </w:tcPr>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实施方案合理，可操作性强，构思方案完整，对本项目的理解程序和整体思路到位，重点突出，难点分析到位，方案涉及细则编制、抽样、检验、总结分析、样品保存、运输等流程；</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实施方案合理、可操作性强，构思方案完整，重难点分析到位，完全满足项目要求,得</w:t>
            </w:r>
            <w:r>
              <w:rPr>
                <w:rFonts w:hint="eastAsia" w:asciiTheme="minorEastAsia" w:hAnsiTheme="minorEastAsia"/>
                <w:bCs/>
                <w:color w:val="auto"/>
                <w:sz w:val="24"/>
                <w:highlight w:val="none"/>
                <w:lang w:val="en-US" w:eastAsia="zh-CN"/>
              </w:rPr>
              <w:t>8</w:t>
            </w:r>
            <w:r>
              <w:rPr>
                <w:rFonts w:hint="eastAsia" w:asciiTheme="minorEastAsia" w:hAnsiTheme="minorEastAsia"/>
                <w:bCs/>
                <w:color w:val="auto"/>
                <w:sz w:val="24"/>
                <w:highlight w:val="none"/>
              </w:rPr>
              <w:t>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实施方案合理、可操作性较强，构思方案基本完整，重难点分析基本合理，基本满足项目要求,得</w:t>
            </w:r>
            <w:r>
              <w:rPr>
                <w:rFonts w:hint="eastAsia" w:asciiTheme="minorEastAsia" w:hAnsiTheme="minorEastAsia"/>
                <w:bCs/>
                <w:color w:val="auto"/>
                <w:sz w:val="24"/>
                <w:highlight w:val="none"/>
                <w:lang w:val="en-US" w:eastAsia="zh-CN"/>
              </w:rPr>
              <w:t>4</w:t>
            </w:r>
            <w:r>
              <w:rPr>
                <w:rFonts w:hint="eastAsia" w:asciiTheme="minorEastAsia" w:hAnsiTheme="minorEastAsia"/>
                <w:bCs/>
                <w:color w:val="auto"/>
                <w:sz w:val="24"/>
                <w:highlight w:val="none"/>
              </w:rPr>
              <w:t>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实施方案较合理、可操作性一般，构思方案一般，基本满足项目要求,得</w:t>
            </w:r>
            <w:r>
              <w:rPr>
                <w:rFonts w:hint="eastAsia" w:asciiTheme="minorEastAsia" w:hAnsiTheme="minorEastAsia"/>
                <w:bCs/>
                <w:color w:val="auto"/>
                <w:sz w:val="24"/>
                <w:highlight w:val="none"/>
                <w:lang w:val="en-US" w:eastAsia="zh-CN"/>
              </w:rPr>
              <w:t>2</w:t>
            </w:r>
            <w:r>
              <w:rPr>
                <w:rFonts w:hint="eastAsia" w:asciiTheme="minorEastAsia" w:hAnsiTheme="minorEastAsia"/>
                <w:bCs/>
                <w:color w:val="auto"/>
                <w:sz w:val="24"/>
                <w:highlight w:val="none"/>
              </w:rPr>
              <w:t>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备注：提供实施方案，不提供不得分。</w:t>
            </w:r>
          </w:p>
        </w:tc>
        <w:tc>
          <w:tcPr>
            <w:tcW w:w="405"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lang w:val="en-US" w:eastAsia="zh-CN"/>
              </w:rPr>
              <w:t>8</w:t>
            </w:r>
            <w:r>
              <w:rPr>
                <w:rFonts w:hint="eastAsia" w:asciiTheme="minorEastAsia" w:hAnsiTheme="minorEastAsia"/>
                <w:bCs/>
                <w:color w:val="auto"/>
                <w:sz w:val="24"/>
                <w:highlight w:val="none"/>
              </w:rPr>
              <w:t>分</w:t>
            </w:r>
          </w:p>
        </w:tc>
        <w:tc>
          <w:tcPr>
            <w:tcW w:w="393"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lang w:val="en-US" w:eastAsia="zh-CN"/>
              </w:rPr>
              <w:t>8</w:t>
            </w:r>
            <w:r>
              <w:rPr>
                <w:rFonts w:hint="eastAsia" w:asciiTheme="minorEastAsia" w:hAnsiTheme="minorEastAsia"/>
                <w:bCs/>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37" w:hRule="atLeast"/>
        </w:trPr>
        <w:tc>
          <w:tcPr>
            <w:tcW w:w="490" w:type="pct"/>
            <w:vAlign w:val="center"/>
          </w:tcPr>
          <w:p>
            <w:pPr>
              <w:pStyle w:val="24"/>
              <w:numPr>
                <w:ilvl w:val="0"/>
                <w:numId w:val="37"/>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项目技术服务人员情况</w:t>
            </w:r>
          </w:p>
        </w:tc>
        <w:tc>
          <w:tcPr>
            <w:tcW w:w="2928" w:type="pct"/>
            <w:vAlign w:val="center"/>
          </w:tcPr>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每提供一位与本项目专业相关的高级职称或博士学位技术人员得0.5分，本项最高5分。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备注：提供学历证书或者职称证书复印件并加盖投标人公章。</w:t>
            </w:r>
          </w:p>
        </w:tc>
        <w:tc>
          <w:tcPr>
            <w:tcW w:w="405"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5分</w:t>
            </w:r>
          </w:p>
        </w:tc>
        <w:tc>
          <w:tcPr>
            <w:tcW w:w="393"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3" w:hRule="atLeast"/>
        </w:trPr>
        <w:tc>
          <w:tcPr>
            <w:tcW w:w="490" w:type="pct"/>
            <w:vAlign w:val="center"/>
          </w:tcPr>
          <w:p>
            <w:pPr>
              <w:pStyle w:val="24"/>
              <w:numPr>
                <w:ilvl w:val="0"/>
                <w:numId w:val="37"/>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食品前沿检测能力</w:t>
            </w:r>
          </w:p>
        </w:tc>
        <w:tc>
          <w:tcPr>
            <w:tcW w:w="2928" w:type="pct"/>
            <w:vAlign w:val="center"/>
          </w:tcPr>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投标人具备食品及食品原料、食品添加剂非标检测能力，得1分；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投标人具备放射性物质残留检测所需的前沿性检测能力，得1分；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投标人具备食品转基因检测能力，得1分；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投标人具备农药残留快速筛查能力，得1分；</w:t>
            </w:r>
          </w:p>
          <w:p>
            <w:pPr>
              <w:snapToGrid w:val="0"/>
              <w:spacing w:line="288" w:lineRule="auto"/>
              <w:jc w:val="left"/>
              <w:rPr>
                <w:rFonts w:hint="eastAsia" w:eastAsia="宋体" w:asciiTheme="minorEastAsia" w:hAnsiTheme="minorEastAsia"/>
                <w:bCs/>
                <w:color w:val="auto"/>
                <w:sz w:val="24"/>
                <w:highlight w:val="none"/>
                <w:lang w:val="en-US" w:eastAsia="zh-CN"/>
              </w:rPr>
            </w:pPr>
            <w:r>
              <w:rPr>
                <w:rFonts w:hint="eastAsia" w:asciiTheme="minorEastAsia" w:hAnsiTheme="minorEastAsia"/>
                <w:bCs/>
                <w:color w:val="auto"/>
                <w:sz w:val="24"/>
                <w:highlight w:val="none"/>
              </w:rPr>
              <w:t>投标人具备牛羊肉等食品的真假鉴别能力，得1分</w:t>
            </w:r>
            <w:r>
              <w:rPr>
                <w:rFonts w:hint="eastAsia" w:asciiTheme="minorEastAsia" w:hAnsiTheme="minorEastAsia"/>
                <w:bCs/>
                <w:color w:val="auto"/>
                <w:sz w:val="24"/>
                <w:highlight w:val="none"/>
                <w:lang w:eastAsia="zh-CN"/>
              </w:rPr>
              <w:t>。</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备注：提供相关报告材料或证书或CMA能力认证等证明文件，其中报告材料是指有受食品安全监管部门委托非标检测的委托书或者检测报告，委托书或检测报告需要加盖委托部门的印章，没盖章的不得分）</w:t>
            </w:r>
          </w:p>
        </w:tc>
        <w:tc>
          <w:tcPr>
            <w:tcW w:w="405"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5分</w:t>
            </w:r>
          </w:p>
        </w:tc>
        <w:tc>
          <w:tcPr>
            <w:tcW w:w="393"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8" w:hRule="atLeast"/>
        </w:trPr>
        <w:tc>
          <w:tcPr>
            <w:tcW w:w="490" w:type="pct"/>
            <w:vAlign w:val="center"/>
          </w:tcPr>
          <w:p>
            <w:pPr>
              <w:snapToGrid w:val="0"/>
              <w:spacing w:line="288" w:lineRule="auto"/>
              <w:jc w:val="center"/>
              <w:rPr>
                <w:rFonts w:asciiTheme="minorEastAsia" w:hAnsiTheme="minorEastAsia"/>
                <w:b/>
                <w:color w:val="auto"/>
                <w:sz w:val="24"/>
                <w:highlight w:val="none"/>
              </w:rPr>
            </w:pPr>
            <w:r>
              <w:rPr>
                <w:rFonts w:hint="eastAsia" w:asciiTheme="minorEastAsia" w:hAnsiTheme="minorEastAsia"/>
                <w:b/>
                <w:color w:val="auto"/>
                <w:sz w:val="24"/>
                <w:highlight w:val="none"/>
              </w:rPr>
              <w:t>二</w:t>
            </w:r>
          </w:p>
        </w:tc>
        <w:tc>
          <w:tcPr>
            <w:tcW w:w="4509" w:type="pct"/>
            <w:gridSpan w:val="4"/>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asciiTheme="minorEastAsia" w:hAnsiTheme="minorEastAsia"/>
                <w:b/>
                <w:color w:val="auto"/>
                <w:sz w:val="24"/>
                <w:highlight w:val="none"/>
              </w:rPr>
              <w:t>商务部分（</w:t>
            </w:r>
            <w:r>
              <w:rPr>
                <w:rFonts w:hint="eastAsia" w:ascii="宋体" w:hAnsi="宋体"/>
                <w:b/>
                <w:color w:val="auto"/>
                <w:sz w:val="24"/>
                <w:highlight w:val="none"/>
              </w:rPr>
              <w:t>合计</w:t>
            </w:r>
            <w:r>
              <w:rPr>
                <w:rFonts w:hint="eastAsia" w:ascii="宋体" w:hAnsi="宋体"/>
                <w:b/>
                <w:color w:val="auto"/>
                <w:sz w:val="24"/>
                <w:highlight w:val="none"/>
                <w:lang w:val="en-US" w:eastAsia="zh-CN"/>
              </w:rPr>
              <w:t>39</w:t>
            </w:r>
            <w:r>
              <w:rPr>
                <w:rFonts w:hint="eastAsia" w:ascii="宋体" w:hAnsi="宋体"/>
                <w:b/>
                <w:color w:val="auto"/>
                <w:sz w:val="24"/>
                <w:highlight w:val="none"/>
              </w:rPr>
              <w:t>分</w:t>
            </w:r>
            <w:r>
              <w:rPr>
                <w:rFonts w:hint="eastAsia" w:asciiTheme="minorEastAsia" w:hAnsiTheme="minorEastAsia"/>
                <w:b/>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pStyle w:val="24"/>
              <w:numPr>
                <w:ilvl w:val="0"/>
                <w:numId w:val="40"/>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2018年至今同类业绩经验</w:t>
            </w:r>
          </w:p>
        </w:tc>
        <w:tc>
          <w:tcPr>
            <w:tcW w:w="2928" w:type="pct"/>
            <w:vAlign w:val="center"/>
          </w:tcPr>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2018年至今（以合同实施时间为准）承担过同类项目业绩，每提供一份合同业绩得1分，本项最高得9分。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备注：提供以下证明材料：合同及中标通知书复印件并加盖投标人公章，无或其他情况得0分。</w:t>
            </w:r>
          </w:p>
        </w:tc>
        <w:tc>
          <w:tcPr>
            <w:tcW w:w="405" w:type="pct"/>
            <w:vAlign w:val="center"/>
          </w:tcPr>
          <w:p>
            <w:pPr>
              <w:snapToGrid w:val="0"/>
              <w:spacing w:line="288" w:lineRule="auto"/>
              <w:jc w:val="center"/>
              <w:rPr>
                <w:rFonts w:cs="宋体" w:asciiTheme="minorEastAsia" w:hAnsiTheme="minorEastAsia"/>
                <w:color w:val="auto"/>
                <w:sz w:val="24"/>
                <w:highlight w:val="none"/>
              </w:rPr>
            </w:pPr>
            <w:r>
              <w:rPr>
                <w:rFonts w:hint="eastAsia" w:asciiTheme="minorEastAsia" w:hAnsiTheme="minorEastAsia"/>
                <w:bCs/>
                <w:color w:val="auto"/>
                <w:sz w:val="24"/>
                <w:highlight w:val="none"/>
              </w:rPr>
              <w:t>9分</w:t>
            </w:r>
          </w:p>
        </w:tc>
        <w:tc>
          <w:tcPr>
            <w:tcW w:w="393" w:type="pct"/>
            <w:vAlign w:val="center"/>
          </w:tcPr>
          <w:p>
            <w:pPr>
              <w:snapToGrid w:val="0"/>
              <w:spacing w:line="288" w:lineRule="auto"/>
              <w:jc w:val="center"/>
              <w:rPr>
                <w:rFonts w:cs="宋体" w:asciiTheme="minorEastAsia" w:hAnsiTheme="minorEastAsia"/>
                <w:color w:val="auto"/>
                <w:sz w:val="24"/>
                <w:highlight w:val="none"/>
              </w:rPr>
            </w:pPr>
            <w:r>
              <w:rPr>
                <w:rFonts w:hint="eastAsia" w:asciiTheme="minorEastAsia" w:hAnsiTheme="minorEastAsia"/>
                <w:bCs/>
                <w:color w:val="auto"/>
                <w:sz w:val="24"/>
                <w:highlight w:val="none"/>
              </w:rPr>
              <w:t>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pStyle w:val="24"/>
              <w:numPr>
                <w:ilvl w:val="0"/>
                <w:numId w:val="40"/>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服务响应</w:t>
            </w:r>
          </w:p>
        </w:tc>
        <w:tc>
          <w:tcPr>
            <w:tcW w:w="2928" w:type="pct"/>
            <w:vAlign w:val="center"/>
          </w:tcPr>
          <w:p>
            <w:pPr>
              <w:numPr>
                <w:ilvl w:val="0"/>
                <w:numId w:val="41"/>
              </w:num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应采购人要求准时到达指定地点；（提供承诺书并加盖投标人盖章）；</w:t>
            </w:r>
          </w:p>
          <w:p>
            <w:pPr>
              <w:numPr>
                <w:ilvl w:val="0"/>
                <w:numId w:val="41"/>
              </w:num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能同时提供4个以上抽样小组开展抽样；（提供相关人员证明材料、人员的抽样上岗证证书复印件，及2020年3月的社保加盖投标人公章）；</w:t>
            </w:r>
          </w:p>
          <w:p>
            <w:pPr>
              <w:numPr>
                <w:ilvl w:val="0"/>
                <w:numId w:val="41"/>
              </w:num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能在抽样之日起15个工作日出具检验报告；（提供承诺书并加盖投标人公章）；</w:t>
            </w:r>
          </w:p>
          <w:p>
            <w:pPr>
              <w:numPr>
                <w:ilvl w:val="0"/>
                <w:numId w:val="41"/>
              </w:num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应急响应时能在2小时内到达采购人指定地点；（提供承诺书并加盖投标人公章）；</w:t>
            </w:r>
          </w:p>
          <w:p>
            <w:pPr>
              <w:numPr>
                <w:ilvl w:val="0"/>
                <w:numId w:val="41"/>
              </w:num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有一份合同业绩证明投标人的应急响应服务经验。（提供相关合同或中标通知书为证明材料）；</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备注：每满足上述一项得1分，每一项承诺内容或证明材料优于采购人要求的另外加</w:t>
            </w:r>
            <w:r>
              <w:rPr>
                <w:rFonts w:hint="eastAsia" w:asciiTheme="minorEastAsia" w:hAnsiTheme="minorEastAsia"/>
                <w:bCs/>
                <w:color w:val="auto"/>
                <w:sz w:val="24"/>
                <w:highlight w:val="none"/>
                <w:lang w:val="en-US" w:eastAsia="zh-CN"/>
              </w:rPr>
              <w:t>0.4</w:t>
            </w:r>
            <w:r>
              <w:rPr>
                <w:rFonts w:hint="eastAsia" w:asciiTheme="minorEastAsia" w:hAnsiTheme="minorEastAsia"/>
                <w:bCs/>
                <w:color w:val="auto"/>
                <w:sz w:val="24"/>
                <w:highlight w:val="none"/>
              </w:rPr>
              <w:t>分，累计最高得</w:t>
            </w:r>
            <w:r>
              <w:rPr>
                <w:rFonts w:hint="eastAsia" w:asciiTheme="minorEastAsia" w:hAnsiTheme="minorEastAsia"/>
                <w:bCs/>
                <w:color w:val="auto"/>
                <w:sz w:val="24"/>
                <w:highlight w:val="none"/>
                <w:lang w:val="en-US" w:eastAsia="zh-CN"/>
              </w:rPr>
              <w:t>7</w:t>
            </w:r>
            <w:r>
              <w:rPr>
                <w:rFonts w:hint="eastAsia" w:asciiTheme="minorEastAsia" w:hAnsiTheme="minorEastAsia"/>
                <w:bCs/>
                <w:color w:val="auto"/>
                <w:sz w:val="24"/>
                <w:highlight w:val="none"/>
              </w:rPr>
              <w:t>分。</w:t>
            </w:r>
          </w:p>
        </w:tc>
        <w:tc>
          <w:tcPr>
            <w:tcW w:w="405"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lang w:val="en-US" w:eastAsia="zh-CN"/>
              </w:rPr>
              <w:t>7</w:t>
            </w:r>
            <w:r>
              <w:rPr>
                <w:rFonts w:hint="eastAsia" w:asciiTheme="minorEastAsia" w:hAnsiTheme="minorEastAsia"/>
                <w:bCs/>
                <w:color w:val="auto"/>
                <w:sz w:val="24"/>
                <w:highlight w:val="none"/>
              </w:rPr>
              <w:t>分</w:t>
            </w:r>
          </w:p>
        </w:tc>
        <w:tc>
          <w:tcPr>
            <w:tcW w:w="393"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lang w:val="en-US" w:eastAsia="zh-CN"/>
              </w:rPr>
              <w:t>7</w:t>
            </w:r>
            <w:r>
              <w:rPr>
                <w:rFonts w:hint="eastAsia" w:asciiTheme="minorEastAsia" w:hAnsiTheme="minorEastAsia"/>
                <w:bCs/>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pStyle w:val="24"/>
              <w:numPr>
                <w:ilvl w:val="0"/>
                <w:numId w:val="40"/>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应急响应</w:t>
            </w:r>
          </w:p>
        </w:tc>
        <w:tc>
          <w:tcPr>
            <w:tcW w:w="2928" w:type="pct"/>
            <w:vAlign w:val="center"/>
          </w:tcPr>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投标人及时响应采购人并参与各项食品应急抽检任务，且及时将样品送达实验室：</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在90分钟内送达的，得6分；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（90-120]分钟内到达的，得4分；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（120-180]分钟内达到的，得2分；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超过180分钟到达的不得分。</w:t>
            </w:r>
          </w:p>
          <w:p>
            <w:pPr>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备注：提供承诺函及论述材料作为证明。承诺函及论述材料需一并提供并加盖投标人公章，论述材料作为承诺函的辅助材料，需根据响应时间等承诺内容，进行支持论述，论述内容合理可行方可得分，不合理、不可行则不得分。</w:t>
            </w:r>
          </w:p>
        </w:tc>
        <w:tc>
          <w:tcPr>
            <w:tcW w:w="405" w:type="pct"/>
            <w:vAlign w:val="center"/>
          </w:tcPr>
          <w:p>
            <w:pPr>
              <w:snapToGrid w:val="0"/>
              <w:spacing w:line="288" w:lineRule="auto"/>
              <w:ind w:left="-74" w:leftChars="-37" w:right="-70" w:rightChars="-35"/>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6分</w:t>
            </w:r>
          </w:p>
        </w:tc>
        <w:tc>
          <w:tcPr>
            <w:tcW w:w="393" w:type="pct"/>
            <w:vAlign w:val="center"/>
          </w:tcPr>
          <w:p>
            <w:pPr>
              <w:snapToGrid w:val="0"/>
              <w:spacing w:line="288" w:lineRule="auto"/>
              <w:ind w:left="-74" w:leftChars="-37" w:right="-70" w:rightChars="-35"/>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pStyle w:val="24"/>
              <w:numPr>
                <w:ilvl w:val="0"/>
                <w:numId w:val="40"/>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投标人信用状况及企业实力</w:t>
            </w:r>
          </w:p>
        </w:tc>
        <w:tc>
          <w:tcPr>
            <w:tcW w:w="2928" w:type="pct"/>
            <w:vAlign w:val="center"/>
          </w:tcPr>
          <w:p>
            <w:pPr>
              <w:pStyle w:val="24"/>
              <w:numPr>
                <w:ilvl w:val="0"/>
                <w:numId w:val="42"/>
              </w:numPr>
              <w:snapToGrid w:val="0"/>
              <w:spacing w:line="288" w:lineRule="auto"/>
              <w:ind w:left="6" w:leftChars="0" w:right="-70" w:rightChars="-35" w:hanging="8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投标人须提供信用报告（信用报告须在有效期内）由中国人民银行或合法第三方信用服务机构出具的企业信用报告</w:t>
            </w:r>
            <w:r>
              <w:rPr>
                <w:rFonts w:hint="eastAsia" w:cs="宋体" w:asciiTheme="minorEastAsia" w:hAnsiTheme="minorEastAsia"/>
                <w:color w:val="auto"/>
                <w:sz w:val="24"/>
                <w:highlight w:val="none"/>
              </w:rPr>
              <w:t>，</w:t>
            </w:r>
            <w:r>
              <w:rPr>
                <w:rFonts w:hint="eastAsia" w:cs="宋体" w:asciiTheme="minorEastAsia" w:hAnsiTheme="minorEastAsia" w:eastAsiaTheme="minorEastAsia"/>
                <w:color w:val="auto"/>
                <w:sz w:val="24"/>
                <w:highlight w:val="none"/>
              </w:rPr>
              <w:t>得3分；</w:t>
            </w:r>
          </w:p>
          <w:p>
            <w:pPr>
              <w:snapToGrid w:val="0"/>
              <w:spacing w:line="288" w:lineRule="auto"/>
              <w:ind w:left="-74" w:leftChars="-37" w:right="-70" w:rightChars="-35"/>
              <w:jc w:val="left"/>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备注：信用报告须由中国人民银行征信中心或合法第三方信用服务机构出具。投标文件中需提供信用报告复印件并加盖公章，如为第三方信用服务机构出具的，另外须附上该信用机构在法律法规规定的监管部门或行业主管部门（中国人民银行等部门）进行备案的相关证明资料。</w:t>
            </w:r>
          </w:p>
          <w:p>
            <w:pPr>
              <w:pStyle w:val="24"/>
              <w:numPr>
                <w:ilvl w:val="0"/>
                <w:numId w:val="42"/>
              </w:numPr>
              <w:snapToGrid w:val="0"/>
              <w:spacing w:line="288" w:lineRule="auto"/>
              <w:ind w:right="-70" w:rightChars="-35"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获得高新技术企业证书，得1分。</w:t>
            </w:r>
          </w:p>
          <w:p>
            <w:pPr>
              <w:snapToGrid w:val="0"/>
              <w:spacing w:line="288" w:lineRule="auto"/>
              <w:ind w:left="-74" w:right="-70" w:rightChars="-35"/>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备注：提供证书复印件并加盖公章。</w:t>
            </w:r>
          </w:p>
          <w:p>
            <w:pPr>
              <w:pStyle w:val="24"/>
              <w:numPr>
                <w:ilvl w:val="0"/>
                <w:numId w:val="42"/>
              </w:numPr>
              <w:snapToGrid w:val="0"/>
              <w:spacing w:line="288" w:lineRule="auto"/>
              <w:ind w:right="-70" w:rightChars="-35"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获得守合同重信用证书得1分。</w:t>
            </w:r>
          </w:p>
          <w:p>
            <w:pPr>
              <w:snapToGrid w:val="0"/>
              <w:spacing w:line="288" w:lineRule="auto"/>
              <w:ind w:left="-74" w:right="-70" w:rightChars="-35"/>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备注：提供证书复印件并加盖公章。</w:t>
            </w:r>
          </w:p>
        </w:tc>
        <w:tc>
          <w:tcPr>
            <w:tcW w:w="405"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5分</w:t>
            </w:r>
          </w:p>
        </w:tc>
        <w:tc>
          <w:tcPr>
            <w:tcW w:w="393" w:type="pct"/>
            <w:vAlign w:val="center"/>
          </w:tcPr>
          <w:p>
            <w:pPr>
              <w:snapToGrid w:val="0"/>
              <w:spacing w:line="288" w:lineRule="auto"/>
              <w:jc w:val="center"/>
              <w:rPr>
                <w:rFonts w:asciiTheme="minorEastAsia" w:hAnsiTheme="minorEastAsia"/>
                <w:bCs/>
                <w:color w:val="auto"/>
                <w:sz w:val="24"/>
                <w:highlight w:val="none"/>
              </w:rPr>
            </w:pPr>
            <w:r>
              <w:rPr>
                <w:rFonts w:hint="eastAsia" w:asciiTheme="minorEastAsia" w:hAnsiTheme="minorEastAsia"/>
                <w:bCs/>
                <w:color w:val="auto"/>
                <w:sz w:val="24"/>
                <w:highlight w:val="none"/>
              </w:rPr>
              <w:t>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pStyle w:val="24"/>
              <w:numPr>
                <w:ilvl w:val="0"/>
                <w:numId w:val="40"/>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项目抽检的能力</w:t>
            </w:r>
          </w:p>
        </w:tc>
        <w:tc>
          <w:tcPr>
            <w:tcW w:w="2928" w:type="pct"/>
            <w:vAlign w:val="center"/>
          </w:tcPr>
          <w:p>
            <w:pPr>
              <w:pStyle w:val="24"/>
              <w:numPr>
                <w:ilvl w:val="0"/>
                <w:numId w:val="43"/>
              </w:numPr>
              <w:snapToGrid w:val="0"/>
              <w:spacing w:line="288" w:lineRule="auto"/>
              <w:ind w:right="-70" w:rightChars="-35" w:firstLineChars="0"/>
              <w:jc w:val="left"/>
              <w:rPr>
                <w:rFonts w:asciiTheme="minorEastAsia" w:hAnsiTheme="minorEastAsia"/>
                <w:color w:val="auto"/>
                <w:sz w:val="24"/>
                <w:highlight w:val="none"/>
              </w:rPr>
            </w:pPr>
            <w:r>
              <w:rPr>
                <w:rFonts w:hint="eastAsia" w:asciiTheme="minorEastAsia" w:hAnsiTheme="minorEastAsia"/>
                <w:color w:val="auto"/>
                <w:sz w:val="24"/>
                <w:highlight w:val="none"/>
              </w:rPr>
              <w:t>投标人具有冷库的得3分；</w:t>
            </w:r>
          </w:p>
          <w:p>
            <w:pPr>
              <w:pStyle w:val="24"/>
              <w:numPr>
                <w:ilvl w:val="0"/>
                <w:numId w:val="43"/>
              </w:numPr>
              <w:snapToGrid w:val="0"/>
              <w:spacing w:line="288" w:lineRule="auto"/>
              <w:ind w:right="-70" w:rightChars="-35" w:firstLineChars="0"/>
              <w:jc w:val="left"/>
              <w:rPr>
                <w:rFonts w:asciiTheme="minorEastAsia" w:hAnsiTheme="minorEastAsia"/>
                <w:color w:val="auto"/>
                <w:sz w:val="24"/>
                <w:highlight w:val="none"/>
              </w:rPr>
            </w:pPr>
            <w:r>
              <w:rPr>
                <w:rFonts w:hint="eastAsia" w:asciiTheme="minorEastAsia" w:hAnsiTheme="minorEastAsia"/>
                <w:color w:val="auto"/>
                <w:sz w:val="24"/>
                <w:highlight w:val="none"/>
              </w:rPr>
              <w:t>投标人具有冷库车的得2分；</w:t>
            </w:r>
          </w:p>
          <w:p>
            <w:pPr>
              <w:snapToGrid w:val="0"/>
              <w:spacing w:line="288" w:lineRule="auto"/>
              <w:ind w:left="56" w:leftChars="28" w:right="-70" w:rightChars="-35"/>
              <w:jc w:val="left"/>
              <w:rPr>
                <w:rFonts w:asciiTheme="minorEastAsia" w:hAnsiTheme="minorEastAsia"/>
                <w:color w:val="auto"/>
                <w:sz w:val="24"/>
                <w:highlight w:val="none"/>
              </w:rPr>
            </w:pPr>
            <w:r>
              <w:rPr>
                <w:rFonts w:hint="eastAsia" w:asciiTheme="minorEastAsia" w:hAnsiTheme="minorEastAsia"/>
                <w:color w:val="auto"/>
                <w:sz w:val="24"/>
                <w:highlight w:val="none"/>
              </w:rPr>
              <w:t>3、投标人具有开展网络订餐（外卖）微生物项目抽检的能力，并在接样2小时内将项目所在地内抽取的样品送达实验室，得4分。</w:t>
            </w:r>
          </w:p>
          <w:p>
            <w:pPr>
              <w:snapToGrid w:val="0"/>
              <w:spacing w:line="288" w:lineRule="auto"/>
              <w:ind w:left="56" w:leftChars="28" w:right="-70" w:rightChars="-35"/>
              <w:jc w:val="left"/>
              <w:rPr>
                <w:rFonts w:asciiTheme="minorEastAsia" w:hAnsiTheme="minorEastAsia"/>
                <w:color w:val="auto"/>
                <w:sz w:val="24"/>
                <w:highlight w:val="none"/>
              </w:rPr>
            </w:pPr>
            <w:r>
              <w:rPr>
                <w:rFonts w:hint="eastAsia" w:asciiTheme="minorEastAsia" w:hAnsiTheme="minorEastAsia"/>
                <w:color w:val="auto"/>
                <w:sz w:val="24"/>
                <w:highlight w:val="none"/>
              </w:rPr>
              <w:t>备注：</w:t>
            </w:r>
          </w:p>
          <w:p>
            <w:pPr>
              <w:pStyle w:val="24"/>
              <w:numPr>
                <w:ilvl w:val="0"/>
                <w:numId w:val="44"/>
              </w:numPr>
              <w:snapToGrid w:val="0"/>
              <w:spacing w:line="288" w:lineRule="auto"/>
              <w:ind w:right="-70" w:rightChars="-35" w:firstLineChars="0"/>
              <w:jc w:val="left"/>
              <w:rPr>
                <w:rFonts w:asciiTheme="minorEastAsia" w:hAnsiTheme="minorEastAsia"/>
                <w:b w:val="0"/>
                <w:bCs w:val="0"/>
                <w:color w:val="auto"/>
                <w:sz w:val="24"/>
                <w:highlight w:val="none"/>
              </w:rPr>
            </w:pPr>
            <w:r>
              <w:rPr>
                <w:rFonts w:hint="eastAsia" w:asciiTheme="minorEastAsia" w:hAnsiTheme="minorEastAsia"/>
                <w:b w:val="0"/>
                <w:bCs w:val="0"/>
                <w:color w:val="auto"/>
                <w:sz w:val="24"/>
                <w:highlight w:val="none"/>
              </w:rPr>
              <w:t>冷库</w:t>
            </w:r>
            <w:r>
              <w:rPr>
                <w:rFonts w:hint="eastAsia" w:asciiTheme="minorEastAsia" w:hAnsiTheme="minorEastAsia"/>
                <w:b w:val="0"/>
                <w:bCs w:val="0"/>
                <w:color w:val="auto"/>
                <w:sz w:val="24"/>
                <w:highlight w:val="none"/>
                <w:lang w:eastAsia="zh-CN"/>
              </w:rPr>
              <w:t>：提供投标人的冷库现场图片，如是自有的，提供房产证复印件；如是租赁的，提供投标人签订的冷库租赁合同（租赁期需含括本项目服务期），加盖投标人公章。</w:t>
            </w:r>
          </w:p>
          <w:p>
            <w:pPr>
              <w:pStyle w:val="24"/>
              <w:numPr>
                <w:ilvl w:val="0"/>
                <w:numId w:val="44"/>
              </w:numPr>
              <w:snapToGrid w:val="0"/>
              <w:spacing w:line="288" w:lineRule="auto"/>
              <w:ind w:right="-70" w:rightChars="-35" w:firstLineChars="0"/>
              <w:jc w:val="left"/>
              <w:rPr>
                <w:rFonts w:asciiTheme="minorEastAsia" w:hAnsiTheme="minorEastAsia"/>
                <w:color w:val="auto"/>
                <w:sz w:val="24"/>
                <w:highlight w:val="none"/>
              </w:rPr>
            </w:pPr>
            <w:r>
              <w:rPr>
                <w:rFonts w:hint="eastAsia" w:asciiTheme="minorEastAsia" w:hAnsiTheme="minorEastAsia"/>
                <w:color w:val="auto"/>
                <w:sz w:val="24"/>
                <w:highlight w:val="none"/>
              </w:rPr>
              <w:t>冷库车：</w:t>
            </w:r>
            <w:r>
              <w:rPr>
                <w:rFonts w:hint="eastAsia" w:asciiTheme="minorEastAsia" w:hAnsiTheme="minorEastAsia" w:eastAsiaTheme="minorEastAsia"/>
                <w:color w:val="auto"/>
                <w:sz w:val="24"/>
                <w:highlight w:val="none"/>
              </w:rPr>
              <w:t>如自有车辆，必须登记在投标人名下，且提供车辆购买发票、行驶证、机动车登记证书复印件并加盖公章。如租赁车辆，应提供租赁协议复印件（租赁期含括本项目服务期）及车辆照片并加盖公章。</w:t>
            </w:r>
          </w:p>
          <w:p>
            <w:pPr>
              <w:pStyle w:val="24"/>
              <w:numPr>
                <w:ilvl w:val="0"/>
                <w:numId w:val="44"/>
              </w:numPr>
              <w:snapToGrid w:val="0"/>
              <w:spacing w:line="288" w:lineRule="auto"/>
              <w:ind w:right="-70" w:rightChars="-35" w:firstLineChars="0"/>
              <w:jc w:val="left"/>
              <w:rPr>
                <w:rFonts w:asciiTheme="minorEastAsia" w:hAnsiTheme="minorEastAsia"/>
                <w:color w:val="auto"/>
                <w:sz w:val="24"/>
                <w:highlight w:val="none"/>
              </w:rPr>
            </w:pPr>
            <w:r>
              <w:rPr>
                <w:rFonts w:hint="eastAsia" w:asciiTheme="minorEastAsia" w:hAnsiTheme="minorEastAsia"/>
                <w:color w:val="auto"/>
                <w:sz w:val="24"/>
                <w:highlight w:val="none"/>
              </w:rPr>
              <w:t>微生物项目抽检能力：投标文件中须提供响应时间承诺函与佐证材料，</w:t>
            </w:r>
            <w:r>
              <w:rPr>
                <w:rFonts w:hint="eastAsia" w:asciiTheme="minorEastAsia" w:hAnsiTheme="minorEastAsia"/>
                <w:bCs/>
                <w:color w:val="auto"/>
                <w:sz w:val="24"/>
                <w:highlight w:val="none"/>
              </w:rPr>
              <w:t>承诺函及论述材料需一并提供并加盖投标人公章，论述材料作为承诺函的辅助材料，需根据响应时间等承诺内容，进行支持论述，论述内容合理可行方可得分，不合理、不可行则不得分。</w:t>
            </w:r>
            <w:r>
              <w:rPr>
                <w:rFonts w:hint="eastAsia" w:asciiTheme="minorEastAsia" w:hAnsiTheme="minorEastAsia"/>
                <w:color w:val="auto"/>
                <w:sz w:val="24"/>
                <w:highlight w:val="none"/>
              </w:rPr>
              <w:t>车载冰箱提供租赁合同（租赁期含括本项目服务期）或购买合同或发票等相关证明文件复印件。</w:t>
            </w:r>
          </w:p>
        </w:tc>
        <w:tc>
          <w:tcPr>
            <w:tcW w:w="405" w:type="pct"/>
            <w:vAlign w:val="center"/>
          </w:tcPr>
          <w:p>
            <w:pPr>
              <w:snapToGrid w:val="0"/>
              <w:spacing w:line="288" w:lineRule="auto"/>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9分</w:t>
            </w:r>
          </w:p>
        </w:tc>
        <w:tc>
          <w:tcPr>
            <w:tcW w:w="393" w:type="pct"/>
            <w:vAlign w:val="center"/>
          </w:tcPr>
          <w:p>
            <w:pPr>
              <w:snapToGrid w:val="0"/>
              <w:spacing w:line="288" w:lineRule="auto"/>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pStyle w:val="24"/>
              <w:numPr>
                <w:ilvl w:val="0"/>
                <w:numId w:val="40"/>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检验结果</w:t>
            </w:r>
          </w:p>
        </w:tc>
        <w:tc>
          <w:tcPr>
            <w:tcW w:w="2928" w:type="pct"/>
            <w:vAlign w:val="center"/>
          </w:tcPr>
          <w:p>
            <w:pPr>
              <w:snapToGrid w:val="0"/>
              <w:spacing w:line="288" w:lineRule="auto"/>
              <w:jc w:val="left"/>
              <w:rPr>
                <w:rFonts w:asciiTheme="minorEastAsia" w:hAnsiTheme="minorEastAsia" w:eastAsiaTheme="minorEastAsia"/>
                <w:color w:val="auto"/>
                <w:sz w:val="24"/>
                <w:highlight w:val="none"/>
              </w:rPr>
            </w:pPr>
            <w:r>
              <w:rPr>
                <w:rFonts w:hint="eastAsia" w:asciiTheme="minorEastAsia" w:hAnsiTheme="minorEastAsia"/>
                <w:color w:val="auto"/>
                <w:sz w:val="24"/>
                <w:highlight w:val="none"/>
              </w:rPr>
              <w:t>投标人</w:t>
            </w:r>
            <w:r>
              <w:rPr>
                <w:rFonts w:hint="eastAsia" w:asciiTheme="minorEastAsia" w:hAnsiTheme="minorEastAsia" w:eastAsiaTheme="minorEastAsia"/>
                <w:color w:val="auto"/>
                <w:sz w:val="24"/>
                <w:highlight w:val="none"/>
              </w:rPr>
              <w:t>拥有安全有效的实验室信息化管理系统（LIMS），能</w:t>
            </w:r>
            <w:r>
              <w:rPr>
                <w:rFonts w:hint="eastAsia" w:asciiTheme="minorEastAsia" w:hAnsiTheme="minorEastAsia"/>
                <w:color w:val="auto"/>
                <w:sz w:val="24"/>
                <w:highlight w:val="none"/>
              </w:rPr>
              <w:t>在国家食品安全抽样检验信息系统中出具含电子签章的检验报告的，</w:t>
            </w:r>
            <w:r>
              <w:rPr>
                <w:rFonts w:hint="eastAsia" w:asciiTheme="minorEastAsia" w:hAnsiTheme="minorEastAsia" w:eastAsiaTheme="minorEastAsia"/>
                <w:color w:val="auto"/>
                <w:sz w:val="24"/>
                <w:highlight w:val="none"/>
              </w:rPr>
              <w:t xml:space="preserve">得 </w:t>
            </w:r>
            <w:r>
              <w:rPr>
                <w:rFonts w:hint="eastAsia" w:asciiTheme="minorEastAsia" w:hAnsiTheme="minorEastAsia"/>
                <w:color w:val="auto"/>
                <w:sz w:val="24"/>
                <w:highlight w:val="none"/>
              </w:rPr>
              <w:t>3</w:t>
            </w:r>
            <w:r>
              <w:rPr>
                <w:rFonts w:hint="eastAsia" w:asciiTheme="minorEastAsia" w:hAnsiTheme="minorEastAsia" w:eastAsiaTheme="minorEastAsia"/>
                <w:color w:val="auto"/>
                <w:sz w:val="24"/>
                <w:highlight w:val="none"/>
              </w:rPr>
              <w:t>分。</w:t>
            </w:r>
          </w:p>
          <w:p>
            <w:pPr>
              <w:snapToGrid w:val="0"/>
              <w:spacing w:line="288" w:lineRule="auto"/>
              <w:jc w:val="left"/>
              <w:rPr>
                <w:rFonts w:asciiTheme="minorEastAsia" w:hAnsiTheme="minorEastAsia"/>
                <w:color w:val="auto"/>
                <w:sz w:val="24"/>
                <w:highlight w:val="none"/>
              </w:rPr>
            </w:pPr>
            <w:r>
              <w:rPr>
                <w:rFonts w:hint="eastAsia" w:asciiTheme="minorEastAsia" w:hAnsiTheme="minorEastAsia"/>
                <w:color w:val="auto"/>
                <w:sz w:val="24"/>
                <w:highlight w:val="none"/>
              </w:rPr>
              <w:t>备注：投标人须提供系统截图并加盖公章。</w:t>
            </w:r>
          </w:p>
        </w:tc>
        <w:tc>
          <w:tcPr>
            <w:tcW w:w="405" w:type="pct"/>
            <w:vAlign w:val="center"/>
          </w:tcPr>
          <w:p>
            <w:pPr>
              <w:snapToGrid w:val="0"/>
              <w:spacing w:line="288" w:lineRule="auto"/>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3分</w:t>
            </w:r>
          </w:p>
        </w:tc>
        <w:tc>
          <w:tcPr>
            <w:tcW w:w="393" w:type="pct"/>
            <w:vAlign w:val="center"/>
          </w:tcPr>
          <w:p>
            <w:pPr>
              <w:snapToGrid w:val="0"/>
              <w:spacing w:line="288" w:lineRule="auto"/>
              <w:jc w:val="center"/>
              <w:rPr>
                <w:rFonts w:cs="宋体" w:asciiTheme="minorEastAsia" w:hAnsiTheme="minorEastAsia"/>
                <w:color w:val="auto"/>
                <w:sz w:val="24"/>
                <w:highlight w:val="none"/>
              </w:rPr>
            </w:pPr>
            <w:r>
              <w:rPr>
                <w:rFonts w:hint="eastAsia" w:cs="宋体" w:asciiTheme="minorEastAsia" w:hAnsiTheme="minorEastAsia"/>
                <w:color w:val="auto"/>
                <w:sz w:val="24"/>
                <w:highlight w:val="none"/>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4" w:hRule="atLeast"/>
        </w:trPr>
        <w:tc>
          <w:tcPr>
            <w:tcW w:w="490"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三</w:t>
            </w:r>
          </w:p>
        </w:tc>
        <w:tc>
          <w:tcPr>
            <w:tcW w:w="4509" w:type="pct"/>
            <w:gridSpan w:val="4"/>
            <w:vAlign w:val="center"/>
          </w:tcPr>
          <w:p>
            <w:pPr>
              <w:snapToGrid w:val="0"/>
              <w:spacing w:line="288" w:lineRule="auto"/>
              <w:ind w:left="-74" w:leftChars="-37" w:right="-70" w:rightChars="-35"/>
              <w:jc w:val="center"/>
              <w:rPr>
                <w:rFonts w:ascii="宋体"/>
                <w:bCs/>
                <w:i/>
                <w:color w:val="auto"/>
                <w:sz w:val="24"/>
                <w:highlight w:val="none"/>
                <w:shd w:val="pct10" w:color="auto" w:fill="FFFFFF"/>
              </w:rPr>
            </w:pPr>
            <w:r>
              <w:rPr>
                <w:rFonts w:hint="eastAsia" w:asciiTheme="minorEastAsia" w:hAnsiTheme="minorEastAsia"/>
                <w:b/>
                <w:color w:val="auto"/>
                <w:sz w:val="24"/>
                <w:highlight w:val="none"/>
              </w:rPr>
              <w:t>价格部分（</w:t>
            </w:r>
            <w:r>
              <w:rPr>
                <w:rFonts w:hint="eastAsia" w:ascii="宋体" w:hAnsi="宋体"/>
                <w:b/>
                <w:color w:val="auto"/>
                <w:sz w:val="24"/>
                <w:highlight w:val="none"/>
              </w:rPr>
              <w:t>合计15分</w:t>
            </w:r>
            <w:r>
              <w:rPr>
                <w:rFonts w:hint="eastAsia" w:asciiTheme="minorEastAsia" w:hAnsiTheme="minorEastAsia"/>
                <w:b/>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trPr>
        <w:tc>
          <w:tcPr>
            <w:tcW w:w="490" w:type="pct"/>
            <w:vAlign w:val="center"/>
          </w:tcPr>
          <w:p>
            <w:pPr>
              <w:pStyle w:val="24"/>
              <w:numPr>
                <w:ilvl w:val="0"/>
                <w:numId w:val="45"/>
              </w:numPr>
              <w:snapToGrid w:val="0"/>
              <w:spacing w:line="288" w:lineRule="auto"/>
              <w:ind w:firstLineChars="0"/>
              <w:jc w:val="center"/>
              <w:rPr>
                <w:rFonts w:asciiTheme="minorEastAsia" w:hAnsiTheme="minorEastAsia"/>
                <w:color w:val="auto"/>
                <w:sz w:val="24"/>
                <w:highlight w:val="none"/>
              </w:rPr>
            </w:pPr>
          </w:p>
        </w:tc>
        <w:tc>
          <w:tcPr>
            <w:tcW w:w="782" w:type="pct"/>
            <w:vAlign w:val="center"/>
          </w:tcPr>
          <w:p>
            <w:pPr>
              <w:snapToGrid w:val="0"/>
              <w:spacing w:line="288" w:lineRule="auto"/>
              <w:jc w:val="center"/>
              <w:rPr>
                <w:rFonts w:asciiTheme="minorEastAsia" w:hAnsiTheme="minorEastAsia"/>
                <w:color w:val="auto"/>
                <w:sz w:val="24"/>
                <w:highlight w:val="none"/>
              </w:rPr>
            </w:pPr>
            <w:r>
              <w:rPr>
                <w:rFonts w:hint="eastAsia" w:asciiTheme="minorEastAsia" w:hAnsiTheme="minorEastAsia"/>
                <w:color w:val="auto"/>
                <w:sz w:val="24"/>
                <w:highlight w:val="none"/>
              </w:rPr>
              <w:t>投标报价</w:t>
            </w:r>
          </w:p>
        </w:tc>
        <w:tc>
          <w:tcPr>
            <w:tcW w:w="2928" w:type="pct"/>
            <w:vAlign w:val="center"/>
          </w:tcPr>
          <w:p>
            <w:pPr>
              <w:autoSpaceDE w:val="0"/>
              <w:autoSpaceDN w:val="0"/>
              <w:snapToGrid w:val="0"/>
              <w:spacing w:line="288" w:lineRule="auto"/>
              <w:rPr>
                <w:rFonts w:cs="宋体" w:asciiTheme="minorEastAsia" w:hAnsiTheme="minorEastAsia"/>
                <w:color w:val="auto"/>
                <w:sz w:val="24"/>
                <w:highlight w:val="none"/>
              </w:rPr>
            </w:pPr>
            <w:r>
              <w:rPr>
                <w:rFonts w:cs="宋体" w:asciiTheme="minorEastAsia" w:hAnsiTheme="minorEastAsia"/>
                <w:color w:val="auto"/>
                <w:sz w:val="24"/>
                <w:highlight w:val="none"/>
              </w:rPr>
              <w:t>价格分</w:t>
            </w:r>
            <w:r>
              <w:rPr>
                <w:rFonts w:hint="eastAsia" w:cs="宋体" w:asciiTheme="minorEastAsia" w:hAnsiTheme="minorEastAsia"/>
                <w:color w:val="auto"/>
                <w:sz w:val="24"/>
                <w:highlight w:val="none"/>
              </w:rPr>
              <w:t>应当采用低价优先法计算，即满足招标文件要求且投标价格最低的投标报价为评标基准价，其价格分为满分。其他投标人的价格分统一按照下列公式计算：</w:t>
            </w:r>
          </w:p>
          <w:p>
            <w:pPr>
              <w:widowControl/>
              <w:snapToGrid w:val="0"/>
              <w:spacing w:line="288" w:lineRule="auto"/>
              <w:jc w:val="left"/>
              <w:rPr>
                <w:rFonts w:cs="宋体" w:asciiTheme="minorEastAsia" w:hAnsiTheme="minorEastAsia"/>
                <w:color w:val="auto"/>
                <w:sz w:val="24"/>
                <w:highlight w:val="none"/>
              </w:rPr>
            </w:pPr>
            <w:r>
              <w:rPr>
                <w:rFonts w:hint="eastAsia" w:cs="宋体" w:asciiTheme="minorEastAsia" w:hAnsiTheme="minorEastAsia"/>
                <w:color w:val="auto"/>
                <w:sz w:val="24"/>
                <w:highlight w:val="none"/>
              </w:rPr>
              <w:t>投标报价得分=(评标基准价／投标报价)×100×权重</w:t>
            </w:r>
          </w:p>
          <w:p>
            <w:pPr>
              <w:widowControl/>
              <w:snapToGrid w:val="0"/>
              <w:spacing w:line="288" w:lineRule="auto"/>
              <w:jc w:val="left"/>
              <w:rPr>
                <w:rFonts w:asciiTheme="minorEastAsia" w:hAnsiTheme="minorEastAsia"/>
                <w:bCs/>
                <w:color w:val="auto"/>
                <w:sz w:val="24"/>
                <w:highlight w:val="none"/>
              </w:rPr>
            </w:pPr>
            <w:r>
              <w:rPr>
                <w:rFonts w:hint="eastAsia" w:asciiTheme="minorEastAsia" w:hAnsiTheme="minorEastAsia"/>
                <w:bCs/>
                <w:color w:val="auto"/>
                <w:sz w:val="24"/>
                <w:highlight w:val="none"/>
              </w:rPr>
              <w:t>备注：</w:t>
            </w:r>
          </w:p>
          <w:p>
            <w:pPr>
              <w:pStyle w:val="24"/>
              <w:widowControl/>
              <w:numPr>
                <w:ilvl w:val="0"/>
                <w:numId w:val="46"/>
              </w:numPr>
              <w:snapToGrid w:val="0"/>
              <w:spacing w:line="288" w:lineRule="auto"/>
              <w:ind w:firstLineChars="0"/>
              <w:jc w:val="left"/>
              <w:rPr>
                <w:rFonts w:cs="宋体" w:asciiTheme="minorEastAsia" w:hAnsiTheme="minorEastAsia"/>
                <w:bCs/>
                <w:color w:val="auto"/>
                <w:sz w:val="24"/>
                <w:highlight w:val="none"/>
              </w:rPr>
            </w:pPr>
            <w:r>
              <w:rPr>
                <w:rFonts w:hint="eastAsia" w:asciiTheme="minorEastAsia" w:hAnsiTheme="minorEastAsia"/>
                <w:bCs/>
                <w:color w:val="auto"/>
                <w:sz w:val="24"/>
                <w:highlight w:val="none"/>
              </w:rPr>
              <w:t>因落实政府采购政策进行价格调整的，以调整后的价格计算评标基准价和投标报价</w:t>
            </w:r>
            <w:r>
              <w:rPr>
                <w:rFonts w:hint="eastAsia" w:cs="宋体" w:asciiTheme="minorEastAsia" w:hAnsiTheme="minorEastAsia"/>
                <w:bCs/>
                <w:color w:val="auto"/>
                <w:sz w:val="24"/>
                <w:highlight w:val="none"/>
              </w:rPr>
              <w:t>,详见《价格扣除》。</w:t>
            </w:r>
          </w:p>
          <w:p>
            <w:pPr>
              <w:pStyle w:val="24"/>
              <w:numPr>
                <w:ilvl w:val="0"/>
                <w:numId w:val="46"/>
              </w:numPr>
              <w:snapToGrid w:val="0"/>
              <w:spacing w:line="288" w:lineRule="auto"/>
              <w:ind w:firstLineChars="0"/>
              <w:rPr>
                <w:rFonts w:asciiTheme="minorEastAsia" w:hAnsiTheme="minorEastAsia"/>
                <w:bCs/>
                <w:color w:val="auto"/>
                <w:sz w:val="24"/>
                <w:highlight w:val="none"/>
                <w:shd w:val="pct10" w:color="auto" w:fill="FFFFFF"/>
              </w:rPr>
            </w:pPr>
            <w:r>
              <w:rPr>
                <w:rFonts w:hint="eastAsia" w:asciiTheme="minorEastAsia" w:hAnsiTheme="minorEastAsia"/>
                <w:bCs/>
                <w:color w:val="auto"/>
                <w:sz w:val="24"/>
                <w:highlight w:val="none"/>
              </w:rPr>
              <w:t>投标报价得分四舍五入后，</w:t>
            </w:r>
            <w:r>
              <w:rPr>
                <w:rFonts w:hint="eastAsia" w:cs="Arial" w:asciiTheme="minorEastAsia" w:hAnsiTheme="minorEastAsia"/>
                <w:bCs/>
                <w:color w:val="auto"/>
                <w:sz w:val="24"/>
                <w:highlight w:val="none"/>
              </w:rPr>
              <w:t>小数点后保留两位有效数</w:t>
            </w:r>
            <w:r>
              <w:rPr>
                <w:rFonts w:hint="eastAsia" w:asciiTheme="minorEastAsia" w:hAnsiTheme="minorEastAsia"/>
                <w:bCs/>
                <w:color w:val="auto"/>
                <w:sz w:val="24"/>
                <w:highlight w:val="none"/>
              </w:rPr>
              <w:t>；</w:t>
            </w:r>
          </w:p>
          <w:p>
            <w:pPr>
              <w:pStyle w:val="24"/>
              <w:numPr>
                <w:ilvl w:val="0"/>
                <w:numId w:val="46"/>
              </w:numPr>
              <w:snapToGrid w:val="0"/>
              <w:spacing w:line="288" w:lineRule="auto"/>
              <w:ind w:firstLineChars="0"/>
              <w:rPr>
                <w:rFonts w:cs="宋体" w:asciiTheme="minorEastAsia" w:hAnsiTheme="minorEastAsia"/>
                <w:color w:val="auto"/>
                <w:sz w:val="24"/>
                <w:highlight w:val="none"/>
              </w:rPr>
            </w:pPr>
            <w:r>
              <w:rPr>
                <w:rFonts w:hint="eastAsia" w:asciiTheme="minorEastAsia" w:hAnsiTheme="minorEastAsia"/>
                <w:bCs/>
                <w:color w:val="auto"/>
                <w:sz w:val="24"/>
                <w:highlight w:val="none"/>
              </w:rPr>
              <w:t>投标报价以“1-投标下浮率”进行价格评分的计算。</w:t>
            </w:r>
          </w:p>
        </w:tc>
        <w:tc>
          <w:tcPr>
            <w:tcW w:w="405" w:type="pct"/>
            <w:vAlign w:val="center"/>
          </w:tcPr>
          <w:p>
            <w:pPr>
              <w:snapToGrid w:val="0"/>
              <w:spacing w:line="288" w:lineRule="auto"/>
              <w:jc w:val="center"/>
              <w:rPr>
                <w:rFonts w:cs="宋体" w:asciiTheme="minorEastAsia" w:hAnsiTheme="minorEastAsia"/>
                <w:color w:val="auto"/>
                <w:sz w:val="24"/>
                <w:highlight w:val="none"/>
              </w:rPr>
            </w:pPr>
            <w:r>
              <w:rPr>
                <w:rFonts w:hint="eastAsia" w:asciiTheme="minorEastAsia" w:hAnsiTheme="minorEastAsia"/>
                <w:bCs/>
                <w:color w:val="auto"/>
                <w:sz w:val="24"/>
                <w:highlight w:val="none"/>
              </w:rPr>
              <w:t>15分</w:t>
            </w:r>
          </w:p>
        </w:tc>
        <w:tc>
          <w:tcPr>
            <w:tcW w:w="393" w:type="pct"/>
            <w:vAlign w:val="center"/>
          </w:tcPr>
          <w:p>
            <w:pPr>
              <w:snapToGrid w:val="0"/>
              <w:spacing w:line="288" w:lineRule="auto"/>
              <w:jc w:val="center"/>
              <w:rPr>
                <w:rFonts w:cs="宋体" w:asciiTheme="minorEastAsia" w:hAnsiTheme="minorEastAsia"/>
                <w:color w:val="auto"/>
                <w:sz w:val="24"/>
                <w:highlight w:val="none"/>
              </w:rPr>
            </w:pPr>
            <w:r>
              <w:rPr>
                <w:rFonts w:hint="eastAsia" w:asciiTheme="minorEastAsia" w:hAnsiTheme="minorEastAsia"/>
                <w:bCs/>
                <w:color w:val="auto"/>
                <w:sz w:val="24"/>
                <w:highlight w:val="none"/>
              </w:rPr>
              <w:t>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atLeast"/>
        </w:trPr>
        <w:tc>
          <w:tcPr>
            <w:tcW w:w="4200" w:type="pct"/>
            <w:gridSpan w:val="3"/>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asciiTheme="minorEastAsia" w:hAnsiTheme="minorEastAsia"/>
                <w:b/>
                <w:color w:val="auto"/>
                <w:sz w:val="24"/>
                <w:highlight w:val="none"/>
              </w:rPr>
              <w:t>合计</w:t>
            </w:r>
          </w:p>
        </w:tc>
        <w:tc>
          <w:tcPr>
            <w:tcW w:w="405" w:type="pct"/>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100分</w:t>
            </w:r>
          </w:p>
        </w:tc>
        <w:tc>
          <w:tcPr>
            <w:tcW w:w="393" w:type="pct"/>
            <w:vAlign w:val="center"/>
          </w:tcPr>
          <w:p>
            <w:pPr>
              <w:snapToGrid w:val="0"/>
              <w:spacing w:line="288" w:lineRule="auto"/>
              <w:ind w:left="-74" w:leftChars="-37" w:right="-70" w:rightChars="-35"/>
              <w:jc w:val="center"/>
              <w:rPr>
                <w:rFonts w:cs="宋体" w:asciiTheme="minorEastAsia" w:hAnsiTheme="minorEastAsia"/>
                <w:b/>
                <w:color w:val="auto"/>
                <w:sz w:val="24"/>
                <w:highlight w:val="none"/>
              </w:rPr>
            </w:pPr>
            <w:r>
              <w:rPr>
                <w:rFonts w:hint="eastAsia" w:cs="宋体" w:asciiTheme="minorEastAsia" w:hAnsiTheme="minorEastAsia"/>
                <w:b/>
                <w:color w:val="auto"/>
                <w:sz w:val="24"/>
                <w:highlight w:val="none"/>
              </w:rPr>
              <w:t>100%</w:t>
            </w:r>
          </w:p>
        </w:tc>
      </w:tr>
    </w:tbl>
    <w:p>
      <w:pPr>
        <w:widowControl/>
        <w:jc w:val="center"/>
        <w:outlineLvl w:val="3"/>
        <w:rPr>
          <w:rFonts w:ascii="黑体" w:hAnsi="宋体" w:eastAsia="黑体" w:cs="宋体"/>
          <w:color w:val="auto"/>
          <w:sz w:val="28"/>
          <w:szCs w:val="28"/>
          <w:highlight w:val="none"/>
        </w:rPr>
        <w:sectPr>
          <w:pgSz w:w="11906" w:h="16838"/>
          <w:pgMar w:top="1440" w:right="849" w:bottom="1440" w:left="993" w:header="851" w:footer="992" w:gutter="0"/>
          <w:cols w:space="720" w:num="1"/>
          <w:docGrid w:type="lines" w:linePitch="312" w:charSpace="0"/>
        </w:sectPr>
      </w:pPr>
    </w:p>
    <w:p>
      <w:pPr>
        <w:widowControl/>
        <w:jc w:val="center"/>
        <w:outlineLvl w:val="3"/>
        <w:rPr>
          <w:rFonts w:ascii="黑体" w:hAnsi="宋体" w:eastAsia="黑体" w:cs="宋体"/>
          <w:color w:val="auto"/>
          <w:sz w:val="28"/>
          <w:szCs w:val="28"/>
          <w:highlight w:val="none"/>
        </w:rPr>
      </w:pPr>
      <w:r>
        <w:rPr>
          <w:rFonts w:hint="eastAsia" w:ascii="黑体" w:hAnsi="宋体" w:eastAsia="黑体" w:cs="宋体"/>
          <w:color w:val="auto"/>
          <w:sz w:val="28"/>
          <w:szCs w:val="28"/>
          <w:highlight w:val="none"/>
        </w:rPr>
        <w:t xml:space="preserve">价 格 扣 </w:t>
      </w:r>
      <w:bookmarkEnd w:id="19"/>
      <w:r>
        <w:rPr>
          <w:rFonts w:hint="eastAsia" w:ascii="黑体" w:hAnsi="宋体" w:eastAsia="黑体" w:cs="宋体"/>
          <w:color w:val="auto"/>
          <w:sz w:val="28"/>
          <w:szCs w:val="28"/>
          <w:highlight w:val="none"/>
        </w:rPr>
        <w:t>除</w:t>
      </w:r>
    </w:p>
    <w:p>
      <w:pPr>
        <w:numPr>
          <w:ilvl w:val="0"/>
          <w:numId w:val="47"/>
        </w:numPr>
        <w:tabs>
          <w:tab w:val="left" w:pos="567"/>
        </w:tabs>
        <w:spacing w:line="360" w:lineRule="auto"/>
        <w:rPr>
          <w:color w:val="auto"/>
          <w:sz w:val="24"/>
          <w:highlight w:val="none"/>
        </w:rPr>
      </w:pPr>
      <w:r>
        <w:rPr>
          <w:rFonts w:hint="eastAsia"/>
          <w:color w:val="auto"/>
          <w:sz w:val="24"/>
          <w:highlight w:val="none"/>
        </w:rPr>
        <w:t>小型和微型企业产品价格扣除</w:t>
      </w:r>
    </w:p>
    <w:p>
      <w:pPr>
        <w:numPr>
          <w:ilvl w:val="1"/>
          <w:numId w:val="47"/>
        </w:numPr>
        <w:spacing w:line="360" w:lineRule="auto"/>
        <w:rPr>
          <w:rFonts w:ascii="宋体" w:hAnsi="宋体"/>
          <w:bCs/>
          <w:strike/>
          <w:color w:val="auto"/>
          <w:sz w:val="24"/>
          <w:highlight w:val="none"/>
        </w:rPr>
      </w:pPr>
      <w:r>
        <w:rPr>
          <w:rFonts w:hint="eastAsia" w:ascii="宋体" w:hAnsi="宋体"/>
          <w:bCs/>
          <w:color w:val="auto"/>
          <w:sz w:val="24"/>
          <w:highlight w:val="none"/>
        </w:rPr>
        <w:t>根据财政部、工业和信息化部印发的《政府采购促进中小企业发展暂行办法》（财库[2011]181号）的规定，对小型和微型企业产品的价格给予C</w:t>
      </w:r>
      <w:r>
        <w:rPr>
          <w:rFonts w:ascii="宋体" w:hAnsi="宋体"/>
          <w:bCs/>
          <w:color w:val="auto"/>
          <w:sz w:val="24"/>
          <w:highlight w:val="none"/>
        </w:rPr>
        <w:t>1</w:t>
      </w:r>
      <w:r>
        <w:rPr>
          <w:rFonts w:hint="eastAsia" w:ascii="宋体" w:hAnsi="宋体"/>
          <w:bCs/>
          <w:color w:val="auto"/>
          <w:sz w:val="24"/>
          <w:highlight w:val="none"/>
        </w:rPr>
        <w:t>的扣除（</w:t>
      </w:r>
      <w:r>
        <w:rPr>
          <w:rFonts w:ascii="宋体" w:hAnsi="宋体"/>
          <w:bCs/>
          <w:color w:val="auto"/>
          <w:sz w:val="24"/>
          <w:highlight w:val="none"/>
        </w:rPr>
        <w:t>C1</w:t>
      </w:r>
      <w:r>
        <w:rPr>
          <w:rFonts w:hint="eastAsia" w:ascii="宋体" w:hAnsi="宋体"/>
          <w:bCs/>
          <w:color w:val="auto"/>
          <w:sz w:val="24"/>
          <w:highlight w:val="none"/>
        </w:rPr>
        <w:t>的取值为</w:t>
      </w:r>
      <w:r>
        <w:rPr>
          <w:rFonts w:hint="eastAsia" w:ascii="宋体" w:hAnsi="宋体"/>
          <w:bCs/>
          <w:color w:val="auto"/>
          <w:sz w:val="24"/>
          <w:highlight w:val="none"/>
          <w:u w:val="single"/>
        </w:rPr>
        <w:t>10%</w:t>
      </w:r>
      <w:r>
        <w:rPr>
          <w:rFonts w:hint="eastAsia" w:ascii="宋体" w:hAnsi="宋体"/>
          <w:bCs/>
          <w:color w:val="auto"/>
          <w:sz w:val="24"/>
          <w:highlight w:val="none"/>
        </w:rPr>
        <w:t>），用扣除后的价格参与评审。</w:t>
      </w:r>
    </w:p>
    <w:p>
      <w:pPr>
        <w:numPr>
          <w:ilvl w:val="1"/>
          <w:numId w:val="47"/>
        </w:numPr>
        <w:spacing w:line="360" w:lineRule="auto"/>
        <w:rPr>
          <w:rFonts w:ascii="宋体" w:hAnsi="宋体"/>
          <w:bCs/>
          <w:color w:val="auto"/>
          <w:sz w:val="24"/>
          <w:highlight w:val="none"/>
        </w:rPr>
      </w:pPr>
      <w:r>
        <w:rPr>
          <w:rFonts w:hint="eastAsia" w:ascii="宋体" w:hAnsi="宋体"/>
          <w:bCs/>
          <w:color w:val="auto"/>
          <w:sz w:val="24"/>
          <w:highlight w:val="none"/>
        </w:rPr>
        <w:t>《政府采购促进中小企业发展暂行办法》所称中小企业（含中型、小型、微型企业，下同）应当同时符合以下条件：</w:t>
      </w:r>
    </w:p>
    <w:p>
      <w:pPr>
        <w:numPr>
          <w:ilvl w:val="2"/>
          <w:numId w:val="47"/>
        </w:numPr>
        <w:spacing w:line="360" w:lineRule="auto"/>
        <w:ind w:left="567" w:hanging="567"/>
        <w:rPr>
          <w:rFonts w:ascii="宋体" w:hAnsi="宋体"/>
          <w:bCs/>
          <w:color w:val="auto"/>
          <w:sz w:val="24"/>
          <w:highlight w:val="none"/>
        </w:rPr>
      </w:pPr>
      <w:r>
        <w:rPr>
          <w:rFonts w:hint="eastAsia" w:ascii="宋体" w:hAnsi="宋体"/>
          <w:bCs/>
          <w:color w:val="auto"/>
          <w:sz w:val="24"/>
          <w:highlight w:val="none"/>
        </w:rPr>
        <w:t xml:space="preserve">符合中小企业划分标准； </w:t>
      </w:r>
    </w:p>
    <w:p>
      <w:pPr>
        <w:numPr>
          <w:ilvl w:val="2"/>
          <w:numId w:val="47"/>
        </w:numPr>
        <w:spacing w:line="360" w:lineRule="auto"/>
        <w:ind w:left="567" w:hanging="567"/>
        <w:rPr>
          <w:rFonts w:ascii="宋体" w:hAnsi="宋体"/>
          <w:bCs/>
          <w:color w:val="auto"/>
          <w:sz w:val="24"/>
          <w:highlight w:val="none"/>
        </w:rPr>
      </w:pPr>
      <w:r>
        <w:rPr>
          <w:rFonts w:hint="eastAsia" w:ascii="宋体" w:hAnsi="宋体"/>
          <w:bCs/>
          <w:color w:val="auto"/>
          <w:sz w:val="24"/>
          <w:highlight w:val="none"/>
        </w:rPr>
        <w:t>提供本企业制造的货物、承担的工程或者服务，或者提供其他中小企业制造的货物。本项所称货物不包括使用大型企业注册商标的货物。</w:t>
      </w:r>
    </w:p>
    <w:p>
      <w:pPr>
        <w:spacing w:line="360" w:lineRule="auto"/>
        <w:ind w:firstLine="566" w:firstLineChars="236"/>
        <w:rPr>
          <w:rFonts w:ascii="宋体" w:hAnsi="宋体"/>
          <w:bCs/>
          <w:color w:val="auto"/>
          <w:sz w:val="24"/>
          <w:highlight w:val="none"/>
        </w:rPr>
      </w:pPr>
      <w:r>
        <w:rPr>
          <w:rFonts w:hint="eastAsia" w:ascii="宋体" w:hAnsi="宋体"/>
          <w:bCs/>
          <w:color w:val="auto"/>
          <w:sz w:val="24"/>
          <w:highlight w:val="none"/>
        </w:rPr>
        <w:t>中小企业划分标准以《工业和信息化部、国家统计局、国家发展和改革委员会、财政部关于印发中小企业划型标准规定的通知》（工信部联企业[2011]300号）规定的划分标准为准。小型、微型企业提供中型企业制造的货物的，视同为中型企业。</w:t>
      </w:r>
    </w:p>
    <w:p>
      <w:pPr>
        <w:numPr>
          <w:ilvl w:val="1"/>
          <w:numId w:val="47"/>
        </w:numPr>
        <w:spacing w:line="360" w:lineRule="auto"/>
        <w:rPr>
          <w:rFonts w:ascii="宋体" w:hAnsi="宋体"/>
          <w:bCs/>
          <w:color w:val="auto"/>
          <w:sz w:val="24"/>
          <w:highlight w:val="none"/>
        </w:rPr>
      </w:pPr>
      <w:r>
        <w:rPr>
          <w:rFonts w:hint="eastAsia" w:ascii="宋体" w:hAnsi="宋体"/>
          <w:bCs/>
          <w:color w:val="auto"/>
          <w:sz w:val="24"/>
          <w:highlight w:val="none"/>
        </w:rPr>
        <w:t>参加政府采购活动的中小企业应当提供《中小企业声明函》（格式见第六章投标文件格式）</w:t>
      </w:r>
      <w:r>
        <w:rPr>
          <w:rFonts w:hint="eastAsia" w:hAnsi="宋体"/>
          <w:color w:val="auto"/>
          <w:sz w:val="24"/>
          <w:highlight w:val="none"/>
        </w:rPr>
        <w:t>。</w:t>
      </w:r>
    </w:p>
    <w:p>
      <w:pPr>
        <w:numPr>
          <w:ilvl w:val="1"/>
          <w:numId w:val="47"/>
        </w:numPr>
        <w:spacing w:line="360" w:lineRule="auto"/>
        <w:rPr>
          <w:color w:val="auto"/>
          <w:sz w:val="24"/>
          <w:highlight w:val="none"/>
        </w:rPr>
      </w:pPr>
      <w:r>
        <w:rPr>
          <w:rFonts w:hint="eastAsia"/>
          <w:color w:val="auto"/>
          <w:sz w:val="24"/>
          <w:highlight w:val="none"/>
        </w:rPr>
        <w:t>监狱企业产品价格扣除</w:t>
      </w:r>
    </w:p>
    <w:p>
      <w:pPr>
        <w:numPr>
          <w:ilvl w:val="2"/>
          <w:numId w:val="47"/>
        </w:numPr>
        <w:spacing w:line="360" w:lineRule="auto"/>
        <w:ind w:left="567" w:hanging="567"/>
        <w:rPr>
          <w:color w:val="auto"/>
          <w:sz w:val="24"/>
          <w:highlight w:val="none"/>
        </w:rPr>
      </w:pPr>
      <w:r>
        <w:rPr>
          <w:rFonts w:hint="eastAsia"/>
          <w:color w:val="auto"/>
          <w:sz w:val="24"/>
          <w:highlight w:val="none"/>
        </w:rPr>
        <w:t>监狱企业视同小型、微型企业，按上述</w:t>
      </w:r>
      <w:r>
        <w:rPr>
          <w:rFonts w:hint="eastAsia" w:asciiTheme="minorEastAsia" w:hAnsiTheme="minorEastAsia" w:eastAsiaTheme="minorEastAsia"/>
          <w:color w:val="auto"/>
          <w:sz w:val="24"/>
          <w:highlight w:val="none"/>
        </w:rPr>
        <w:t>第（一）</w:t>
      </w:r>
      <w:r>
        <w:rPr>
          <w:rFonts w:hint="eastAsia"/>
          <w:color w:val="auto"/>
          <w:sz w:val="24"/>
          <w:highlight w:val="none"/>
        </w:rPr>
        <w:t>条款享受评审中价格扣除。</w:t>
      </w:r>
    </w:p>
    <w:p>
      <w:pPr>
        <w:numPr>
          <w:ilvl w:val="2"/>
          <w:numId w:val="47"/>
        </w:numPr>
        <w:spacing w:line="360" w:lineRule="auto"/>
        <w:ind w:left="567" w:hanging="567"/>
        <w:rPr>
          <w:color w:val="auto"/>
          <w:sz w:val="24"/>
          <w:highlight w:val="none"/>
        </w:rPr>
      </w:pPr>
      <w:r>
        <w:rPr>
          <w:rFonts w:hint="eastAsia"/>
          <w:color w:val="auto"/>
          <w:sz w:val="24"/>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numPr>
          <w:ilvl w:val="2"/>
          <w:numId w:val="47"/>
        </w:numPr>
        <w:spacing w:line="360" w:lineRule="auto"/>
        <w:ind w:left="567" w:hanging="567"/>
        <w:rPr>
          <w:color w:val="auto"/>
          <w:sz w:val="24"/>
          <w:highlight w:val="none"/>
        </w:rPr>
      </w:pPr>
      <w:r>
        <w:rPr>
          <w:rFonts w:hint="eastAsia"/>
          <w:color w:val="auto"/>
          <w:sz w:val="24"/>
          <w:highlight w:val="none"/>
        </w:rPr>
        <w:t>监狱企业参加政府采购活动时，应当提供由省级以上监狱管理局、戒毒管理局（含新疆生产建设兵团）出具的属于监狱企业的证明文件，</w:t>
      </w:r>
      <w:r>
        <w:rPr>
          <w:rFonts w:hint="eastAsia" w:ascii="宋体" w:hAnsi="宋体" w:cs="宋体"/>
          <w:color w:val="auto"/>
          <w:sz w:val="24"/>
          <w:highlight w:val="none"/>
        </w:rPr>
        <w:t>否则不予认可</w:t>
      </w:r>
      <w:r>
        <w:rPr>
          <w:rFonts w:hint="eastAsia"/>
          <w:color w:val="auto"/>
          <w:sz w:val="24"/>
          <w:highlight w:val="none"/>
        </w:rPr>
        <w:t>。</w:t>
      </w:r>
    </w:p>
    <w:p>
      <w:pPr>
        <w:numPr>
          <w:ilvl w:val="1"/>
          <w:numId w:val="47"/>
        </w:numPr>
        <w:spacing w:line="360" w:lineRule="auto"/>
        <w:rPr>
          <w:color w:val="auto"/>
          <w:sz w:val="24"/>
          <w:highlight w:val="none"/>
        </w:rPr>
      </w:pPr>
      <w:r>
        <w:rPr>
          <w:rFonts w:hint="eastAsia"/>
          <w:color w:val="auto"/>
          <w:sz w:val="24"/>
          <w:highlight w:val="none"/>
        </w:rPr>
        <w:t>残疾人福利性单位产品价格扣除</w:t>
      </w:r>
    </w:p>
    <w:p>
      <w:pPr>
        <w:numPr>
          <w:ilvl w:val="2"/>
          <w:numId w:val="47"/>
        </w:numPr>
        <w:spacing w:line="360" w:lineRule="auto"/>
        <w:ind w:left="567" w:hanging="567"/>
        <w:rPr>
          <w:color w:val="auto"/>
          <w:sz w:val="24"/>
          <w:highlight w:val="none"/>
        </w:rPr>
      </w:pPr>
      <w:r>
        <w:rPr>
          <w:rFonts w:hint="eastAsia"/>
          <w:color w:val="auto"/>
          <w:sz w:val="24"/>
          <w:highlight w:val="none"/>
        </w:rPr>
        <w:t>残疾人福利性单位视同小型、微型企业，按上述</w:t>
      </w:r>
      <w:r>
        <w:rPr>
          <w:rFonts w:hint="eastAsia" w:asciiTheme="minorEastAsia" w:hAnsiTheme="minorEastAsia" w:eastAsiaTheme="minorEastAsia"/>
          <w:color w:val="auto"/>
          <w:sz w:val="24"/>
          <w:highlight w:val="none"/>
        </w:rPr>
        <w:t>第（一）</w:t>
      </w:r>
      <w:r>
        <w:rPr>
          <w:rFonts w:hint="eastAsia"/>
          <w:color w:val="auto"/>
          <w:sz w:val="24"/>
          <w:highlight w:val="none"/>
        </w:rPr>
        <w:t>条款享受评审中价格扣除。</w:t>
      </w:r>
    </w:p>
    <w:p>
      <w:pPr>
        <w:numPr>
          <w:ilvl w:val="2"/>
          <w:numId w:val="47"/>
        </w:numPr>
        <w:spacing w:line="360" w:lineRule="auto"/>
        <w:ind w:left="567" w:hanging="567"/>
        <w:rPr>
          <w:color w:val="auto"/>
          <w:sz w:val="24"/>
          <w:highlight w:val="none"/>
        </w:rPr>
      </w:pPr>
      <w:r>
        <w:rPr>
          <w:rFonts w:hint="eastAsia" w:ascii="宋体" w:hAnsi="宋体"/>
          <w:bCs/>
          <w:color w:val="auto"/>
          <w:sz w:val="24"/>
          <w:highlight w:val="none"/>
        </w:rPr>
        <w:t>根据财政部、民政部、中国残疾人联合会印发的《关于促进残疾人就业政府采购政策的通知》（财库〔2017〕141号）的规定，符合条件的残疾人福利性单位在参加政府采购活动时，应当提供该通知规定的《残疾人福利性单位声明函》（格式见第六章投标文件格式），并对</w:t>
      </w:r>
      <w:r>
        <w:rPr>
          <w:rFonts w:hint="eastAsia"/>
          <w:color w:val="auto"/>
          <w:sz w:val="24"/>
          <w:highlight w:val="none"/>
        </w:rPr>
        <w:t>声明的真实性负责。一旦中标将在中标公告中公告其声明函，接受社会监督。投标人提供的《残疾人福利性单位声明函》与事实不符的，依照《</w:t>
      </w:r>
      <w:r>
        <w:rPr>
          <w:rFonts w:hint="eastAsia" w:ascii="宋体" w:hAnsi="宋体"/>
          <w:bCs/>
          <w:color w:val="auto"/>
          <w:sz w:val="24"/>
          <w:highlight w:val="none"/>
        </w:rPr>
        <w:t>中华人民共和国政府采购法</w:t>
      </w:r>
      <w:r>
        <w:rPr>
          <w:rFonts w:hint="eastAsia"/>
          <w:color w:val="auto"/>
          <w:sz w:val="24"/>
          <w:highlight w:val="none"/>
        </w:rPr>
        <w:t>》第七十七条第一款的规定追究法律责任。</w:t>
      </w:r>
    </w:p>
    <w:p>
      <w:pPr>
        <w:numPr>
          <w:ilvl w:val="0"/>
          <w:numId w:val="47"/>
        </w:numPr>
        <w:tabs>
          <w:tab w:val="left" w:pos="567"/>
        </w:tabs>
        <w:spacing w:line="360" w:lineRule="auto"/>
        <w:ind w:left="567" w:hanging="567"/>
        <w:rPr>
          <w:color w:val="auto"/>
          <w:highlight w:val="none"/>
        </w:rPr>
      </w:pPr>
      <w:r>
        <w:rPr>
          <w:rFonts w:hint="eastAsia"/>
          <w:color w:val="auto"/>
          <w:sz w:val="24"/>
          <w:highlight w:val="none"/>
        </w:rPr>
        <w:t>投标人同时为小型、微型企业、监狱企业、残疾人福利性单位任两种或以上情况的，评审中只享受一次价格扣除，不重复进行价格扣除。</w:t>
      </w:r>
    </w:p>
    <w:p>
      <w:pPr>
        <w:numPr>
          <w:ilvl w:val="0"/>
          <w:numId w:val="47"/>
        </w:numPr>
        <w:tabs>
          <w:tab w:val="left" w:pos="567"/>
        </w:tabs>
        <w:snapToGrid w:val="0"/>
        <w:spacing w:line="360" w:lineRule="auto"/>
        <w:ind w:left="567" w:hanging="567"/>
        <w:rPr>
          <w:bCs/>
          <w:color w:val="auto"/>
          <w:sz w:val="24"/>
          <w:highlight w:val="none"/>
          <w:shd w:val="pct10" w:color="auto" w:fill="FFFFFF"/>
        </w:rPr>
      </w:pPr>
      <w:r>
        <w:rPr>
          <w:rFonts w:hint="eastAsia"/>
          <w:b/>
          <w:bCs/>
          <w:color w:val="auto"/>
          <w:sz w:val="24"/>
          <w:highlight w:val="none"/>
        </w:rPr>
        <w:t>节能产品、环境标志产品价格扣除</w:t>
      </w:r>
    </w:p>
    <w:p>
      <w:pPr>
        <w:numPr>
          <w:ilvl w:val="1"/>
          <w:numId w:val="47"/>
        </w:numPr>
        <w:snapToGrid w:val="0"/>
        <w:spacing w:line="360" w:lineRule="auto"/>
        <w:rPr>
          <w:rFonts w:asciiTheme="minorEastAsia" w:hAnsiTheme="minorEastAsia"/>
          <w:color w:val="auto"/>
          <w:sz w:val="24"/>
          <w:highlight w:val="none"/>
        </w:rPr>
      </w:pPr>
      <w:r>
        <w:rPr>
          <w:rFonts w:hint="eastAsia" w:asciiTheme="minorEastAsia" w:hAnsiTheme="minorEastAsia"/>
          <w:color w:val="auto"/>
          <w:sz w:val="24"/>
          <w:highlight w:val="none"/>
        </w:rPr>
        <w:t>拟采购产品属于节能产品政府采购品目清单规定必须强制采购的，实行强制采购。</w:t>
      </w:r>
    </w:p>
    <w:p>
      <w:pPr>
        <w:numPr>
          <w:ilvl w:val="1"/>
          <w:numId w:val="47"/>
        </w:numPr>
        <w:snapToGrid w:val="0"/>
        <w:spacing w:line="360" w:lineRule="auto"/>
        <w:rPr>
          <w:rFonts w:asciiTheme="minorEastAsia" w:hAnsiTheme="minorEastAsia"/>
          <w:color w:val="auto"/>
          <w:sz w:val="24"/>
          <w:highlight w:val="none"/>
        </w:rPr>
      </w:pPr>
      <w:r>
        <w:rPr>
          <w:rFonts w:hint="eastAsia" w:asciiTheme="minorEastAsia" w:hAnsiTheme="minorEastAsia"/>
          <w:color w:val="auto"/>
          <w:sz w:val="24"/>
          <w:highlight w:val="none"/>
        </w:rPr>
        <w:t>本次采购产品在财政部、发展改革委、生态环境部等部门最新发布的《节能产品政府采购品目清单》或《</w:t>
      </w:r>
      <w:r>
        <w:rPr>
          <w:rFonts w:asciiTheme="minorEastAsia" w:hAnsiTheme="minorEastAsia"/>
          <w:color w:val="auto"/>
          <w:sz w:val="24"/>
          <w:highlight w:val="none"/>
        </w:rPr>
        <w:t>环境标志产品</w:t>
      </w:r>
      <w:r>
        <w:rPr>
          <w:rFonts w:hint="eastAsia" w:asciiTheme="minorEastAsia" w:hAnsiTheme="minorEastAsia"/>
          <w:color w:val="auto"/>
          <w:sz w:val="24"/>
          <w:highlight w:val="none"/>
        </w:rPr>
        <w:t>政府采购</w:t>
      </w:r>
      <w:r>
        <w:rPr>
          <w:rFonts w:asciiTheme="minorEastAsia" w:hAnsiTheme="minorEastAsia"/>
          <w:color w:val="auto"/>
          <w:sz w:val="24"/>
          <w:highlight w:val="none"/>
        </w:rPr>
        <w:t>品目清单</w:t>
      </w:r>
      <w:r>
        <w:rPr>
          <w:rFonts w:hint="eastAsia" w:asciiTheme="minorEastAsia" w:hAnsiTheme="minorEastAsia"/>
          <w:color w:val="auto"/>
          <w:sz w:val="24"/>
          <w:highlight w:val="none"/>
        </w:rPr>
        <w:t>》的清单范围内优先采购的节能产品、</w:t>
      </w:r>
      <w:r>
        <w:rPr>
          <w:rFonts w:ascii="宋体" w:hAnsi="宋体"/>
          <w:color w:val="auto"/>
          <w:sz w:val="24"/>
          <w:highlight w:val="none"/>
        </w:rPr>
        <w:t>环境标志产品类别</w:t>
      </w:r>
      <w:r>
        <w:rPr>
          <w:rFonts w:hint="eastAsia" w:asciiTheme="minorEastAsia" w:hAnsiTheme="minorEastAsia"/>
          <w:color w:val="auto"/>
          <w:sz w:val="24"/>
          <w:highlight w:val="none"/>
        </w:rPr>
        <w:t>，对于具有国家确定的认证机构出具的、处于有效期之内的节能产品或环境标志产品认证证书的，对节能产品或环境标志产品的价格分别给予</w:t>
      </w:r>
      <w:r>
        <w:rPr>
          <w:rFonts w:hint="eastAsia" w:asciiTheme="minorEastAsia" w:hAnsiTheme="minorEastAsia"/>
          <w:color w:val="auto"/>
          <w:sz w:val="24"/>
          <w:highlight w:val="none"/>
          <w:u w:val="single"/>
        </w:rPr>
        <w:t>1</w:t>
      </w:r>
      <w:r>
        <w:rPr>
          <w:rFonts w:asciiTheme="minorEastAsia" w:hAnsiTheme="minorEastAsia"/>
          <w:color w:val="auto"/>
          <w:sz w:val="24"/>
          <w:highlight w:val="none"/>
        </w:rPr>
        <w:t>%</w:t>
      </w:r>
      <w:r>
        <w:rPr>
          <w:rFonts w:hint="eastAsia" w:asciiTheme="minorEastAsia" w:hAnsiTheme="minorEastAsia"/>
          <w:color w:val="auto"/>
          <w:sz w:val="24"/>
          <w:highlight w:val="none"/>
        </w:rPr>
        <w:t>的价格扣除。</w:t>
      </w:r>
    </w:p>
    <w:p>
      <w:pPr>
        <w:numPr>
          <w:ilvl w:val="1"/>
          <w:numId w:val="47"/>
        </w:numPr>
        <w:snapToGrid w:val="0"/>
        <w:spacing w:line="360" w:lineRule="auto"/>
        <w:rPr>
          <w:rFonts w:asciiTheme="minorEastAsia" w:hAnsiTheme="minorEastAsia"/>
          <w:color w:val="auto"/>
          <w:sz w:val="24"/>
          <w:highlight w:val="none"/>
        </w:rPr>
      </w:pPr>
      <w:r>
        <w:rPr>
          <w:rFonts w:hint="eastAsia" w:asciiTheme="minorEastAsia" w:hAnsiTheme="minorEastAsia"/>
          <w:color w:val="auto"/>
          <w:sz w:val="24"/>
          <w:highlight w:val="none"/>
        </w:rPr>
        <w:t>属于品目清单范围内的节能或环境标志产品，应当提供国家确定的认证机构出具的、处于有效期之内的节能产品或环境标志产品认证证书复印件，并加盖投标人单位的公章。</w:t>
      </w:r>
    </w:p>
    <w:p>
      <w:pPr>
        <w:numPr>
          <w:ilvl w:val="0"/>
          <w:numId w:val="47"/>
        </w:numPr>
        <w:tabs>
          <w:tab w:val="left" w:pos="567"/>
        </w:tabs>
        <w:snapToGrid w:val="0"/>
        <w:spacing w:line="360" w:lineRule="auto"/>
        <w:ind w:left="567" w:hanging="567"/>
        <w:rPr>
          <w:bCs/>
          <w:color w:val="auto"/>
          <w:sz w:val="24"/>
          <w:highlight w:val="none"/>
          <w:shd w:val="pct10" w:color="auto" w:fill="FFFFFF"/>
        </w:rPr>
      </w:pPr>
      <w:r>
        <w:rPr>
          <w:rFonts w:hint="eastAsia"/>
          <w:b/>
          <w:bCs/>
          <w:color w:val="auto"/>
          <w:sz w:val="24"/>
          <w:highlight w:val="none"/>
        </w:rPr>
        <w:t>国家级贫困地区农副产品价格扣除</w:t>
      </w:r>
    </w:p>
    <w:p>
      <w:pPr>
        <w:numPr>
          <w:ilvl w:val="1"/>
          <w:numId w:val="47"/>
        </w:numPr>
        <w:snapToGrid w:val="0"/>
        <w:spacing w:line="360" w:lineRule="auto"/>
        <w:rPr>
          <w:rFonts w:asciiTheme="minorEastAsia" w:hAnsiTheme="minorEastAsia"/>
          <w:color w:val="auto"/>
          <w:sz w:val="24"/>
          <w:highlight w:val="none"/>
        </w:rPr>
      </w:pPr>
      <w:r>
        <w:rPr>
          <w:rFonts w:hint="eastAsia" w:asciiTheme="minorEastAsia" w:hAnsiTheme="minorEastAsia"/>
          <w:color w:val="auto"/>
          <w:sz w:val="24"/>
          <w:highlight w:val="none"/>
        </w:rPr>
        <w:t>供应商注册地在8</w:t>
      </w:r>
      <w:r>
        <w:rPr>
          <w:rFonts w:asciiTheme="minorEastAsia" w:hAnsiTheme="minorEastAsia"/>
          <w:color w:val="auto"/>
          <w:sz w:val="24"/>
          <w:highlight w:val="none"/>
        </w:rPr>
        <w:t>32</w:t>
      </w:r>
      <w:r>
        <w:rPr>
          <w:rFonts w:hint="eastAsia" w:asciiTheme="minorEastAsia" w:hAnsiTheme="minorEastAsia"/>
          <w:color w:val="auto"/>
          <w:sz w:val="24"/>
          <w:highlight w:val="none"/>
        </w:rPr>
        <w:t>个国家级贫困县域内，且所投农副产品属于《国家级贫困县重点扶贫产品供应商名录》的供应商，对所投农副产品的价格给予</w:t>
      </w:r>
      <w:r>
        <w:rPr>
          <w:rFonts w:hint="eastAsia" w:asciiTheme="minorEastAsia" w:hAnsiTheme="minorEastAsia"/>
          <w:color w:val="auto"/>
          <w:sz w:val="24"/>
          <w:highlight w:val="none"/>
          <w:u w:val="single"/>
        </w:rPr>
        <w:t>1</w:t>
      </w:r>
      <w:r>
        <w:rPr>
          <w:rFonts w:asciiTheme="minorEastAsia" w:hAnsiTheme="minorEastAsia"/>
          <w:color w:val="auto"/>
          <w:sz w:val="24"/>
          <w:highlight w:val="none"/>
        </w:rPr>
        <w:t>%</w:t>
      </w:r>
      <w:r>
        <w:rPr>
          <w:rFonts w:hint="eastAsia" w:asciiTheme="minorEastAsia" w:hAnsiTheme="minorEastAsia"/>
          <w:color w:val="auto"/>
          <w:sz w:val="24"/>
          <w:highlight w:val="none"/>
        </w:rPr>
        <w:t>的价格扣除。</w:t>
      </w:r>
    </w:p>
    <w:p>
      <w:pPr>
        <w:numPr>
          <w:ilvl w:val="1"/>
          <w:numId w:val="47"/>
        </w:numPr>
        <w:snapToGrid w:val="0"/>
        <w:spacing w:line="360" w:lineRule="auto"/>
        <w:rPr>
          <w:rFonts w:asciiTheme="minorEastAsia" w:hAnsiTheme="minorEastAsia"/>
          <w:color w:val="auto"/>
          <w:sz w:val="24"/>
          <w:highlight w:val="none"/>
        </w:rPr>
      </w:pPr>
      <w:r>
        <w:rPr>
          <w:rFonts w:hint="eastAsia" w:asciiTheme="minorEastAsia" w:hAnsiTheme="minorEastAsia"/>
          <w:color w:val="auto"/>
          <w:sz w:val="24"/>
          <w:highlight w:val="none"/>
        </w:rPr>
        <w:t>提供供应商属于《国家级贫困县重点扶贫产品供应商名录》的证明材料，并加盖供应商单位公章。如所提供产品属于《国家级贫困县重点扶贫产品供应商名录》中供应商的产品，应同时提供合作协议（或授权函）和该供应商属于《国家级贫困县重点扶贫产品供应商名录》的证明材料并加盖投标人单位公章。</w:t>
      </w:r>
    </w:p>
    <w:p>
      <w:pPr>
        <w:numPr>
          <w:ilvl w:val="0"/>
          <w:numId w:val="47"/>
        </w:numPr>
        <w:tabs>
          <w:tab w:val="left" w:pos="567"/>
        </w:tabs>
        <w:snapToGrid w:val="0"/>
        <w:spacing w:line="360" w:lineRule="auto"/>
        <w:ind w:left="567" w:hanging="567"/>
        <w:rPr>
          <w:rFonts w:asciiTheme="minorEastAsia" w:hAnsiTheme="minorEastAsia"/>
          <w:color w:val="auto"/>
          <w:sz w:val="24"/>
          <w:highlight w:val="none"/>
        </w:rPr>
      </w:pPr>
      <w:r>
        <w:rPr>
          <w:rFonts w:hint="eastAsia"/>
          <w:b/>
          <w:bCs/>
          <w:color w:val="auto"/>
          <w:sz w:val="24"/>
          <w:highlight w:val="none"/>
        </w:rPr>
        <w:t>国家级贫困地区物业服务价格扣除</w:t>
      </w:r>
    </w:p>
    <w:p>
      <w:pPr>
        <w:numPr>
          <w:ilvl w:val="1"/>
          <w:numId w:val="47"/>
        </w:numPr>
        <w:snapToGrid w:val="0"/>
        <w:spacing w:line="360" w:lineRule="auto"/>
        <w:rPr>
          <w:rFonts w:asciiTheme="minorEastAsia" w:hAnsiTheme="minorEastAsia"/>
          <w:color w:val="auto"/>
          <w:sz w:val="24"/>
          <w:highlight w:val="none"/>
        </w:rPr>
      </w:pPr>
      <w:r>
        <w:rPr>
          <w:rFonts w:hint="eastAsia" w:asciiTheme="minorEastAsia" w:hAnsiTheme="minorEastAsia"/>
          <w:color w:val="auto"/>
          <w:sz w:val="24"/>
          <w:highlight w:val="none"/>
        </w:rPr>
        <w:t>供应商注册地在8</w:t>
      </w:r>
      <w:r>
        <w:rPr>
          <w:rFonts w:asciiTheme="minorEastAsia" w:hAnsiTheme="minorEastAsia"/>
          <w:color w:val="auto"/>
          <w:sz w:val="24"/>
          <w:highlight w:val="none"/>
        </w:rPr>
        <w:t>32</w:t>
      </w:r>
      <w:r>
        <w:rPr>
          <w:rFonts w:hint="eastAsia" w:asciiTheme="minorEastAsia" w:hAnsiTheme="minorEastAsia"/>
          <w:color w:val="auto"/>
          <w:sz w:val="24"/>
          <w:highlight w:val="none"/>
        </w:rPr>
        <w:t>个国家级贫困县域内，且聘用建档立卡贫困人员，对供应商的投标报价给予</w:t>
      </w:r>
      <w:r>
        <w:rPr>
          <w:rFonts w:hint="eastAsia" w:asciiTheme="minorEastAsia" w:hAnsiTheme="minorEastAsia"/>
          <w:color w:val="auto"/>
          <w:sz w:val="24"/>
          <w:highlight w:val="none"/>
          <w:u w:val="single"/>
        </w:rPr>
        <w:t>1</w:t>
      </w:r>
      <w:r>
        <w:rPr>
          <w:rFonts w:asciiTheme="minorEastAsia" w:hAnsiTheme="minorEastAsia"/>
          <w:color w:val="auto"/>
          <w:sz w:val="24"/>
          <w:highlight w:val="none"/>
        </w:rPr>
        <w:t>%</w:t>
      </w:r>
      <w:r>
        <w:rPr>
          <w:rFonts w:hint="eastAsia" w:asciiTheme="minorEastAsia" w:hAnsiTheme="minorEastAsia"/>
          <w:color w:val="auto"/>
          <w:sz w:val="24"/>
          <w:highlight w:val="none"/>
        </w:rPr>
        <w:t>的价格扣除。</w:t>
      </w:r>
    </w:p>
    <w:p>
      <w:pPr>
        <w:numPr>
          <w:ilvl w:val="1"/>
          <w:numId w:val="47"/>
        </w:numPr>
        <w:snapToGrid w:val="0"/>
        <w:spacing w:line="360" w:lineRule="auto"/>
        <w:rPr>
          <w:rFonts w:ascii="宋体" w:hAnsi="宋体"/>
          <w:color w:val="auto"/>
          <w:sz w:val="24"/>
          <w:highlight w:val="none"/>
        </w:rPr>
      </w:pPr>
      <w:r>
        <w:rPr>
          <w:rFonts w:hint="eastAsia" w:ascii="宋体" w:hAnsi="宋体"/>
          <w:color w:val="auto"/>
          <w:sz w:val="24"/>
          <w:highlight w:val="none"/>
        </w:rPr>
        <w:t>贫困县域物业公司参与物业服务政府采购,享受上述优惠政策时，应提供以下佐证材料：</w:t>
      </w:r>
    </w:p>
    <w:p>
      <w:pPr>
        <w:numPr>
          <w:ilvl w:val="2"/>
          <w:numId w:val="47"/>
        </w:numPr>
        <w:snapToGrid w:val="0"/>
        <w:spacing w:line="360" w:lineRule="auto"/>
        <w:ind w:left="567" w:hanging="567"/>
        <w:rPr>
          <w:color w:val="auto"/>
          <w:sz w:val="24"/>
          <w:highlight w:val="none"/>
        </w:rPr>
      </w:pPr>
      <w:r>
        <w:rPr>
          <w:rFonts w:hint="eastAsia"/>
          <w:color w:val="auto"/>
          <w:sz w:val="24"/>
          <w:highlight w:val="none"/>
        </w:rPr>
        <w:t>供应商注册所在地县扶贫部门出具的本公司聘用建档立卡贫困人员具体数量证明，并加盖供应商单位公章。</w:t>
      </w:r>
    </w:p>
    <w:p>
      <w:pPr>
        <w:numPr>
          <w:ilvl w:val="2"/>
          <w:numId w:val="47"/>
        </w:numPr>
        <w:snapToGrid w:val="0"/>
        <w:spacing w:line="360" w:lineRule="auto"/>
        <w:ind w:left="567" w:hanging="567"/>
        <w:rPr>
          <w:color w:val="auto"/>
          <w:sz w:val="24"/>
          <w:highlight w:val="none"/>
        </w:rPr>
      </w:pPr>
      <w:r>
        <w:rPr>
          <w:rFonts w:hint="eastAsia"/>
          <w:color w:val="auto"/>
          <w:sz w:val="24"/>
          <w:highlight w:val="none"/>
        </w:rPr>
        <w:t>劳动合同或保险缴纳凭证、工资发放凭证等证实本公司聘用建档立卡贫困人员的材料，并加盖供应商单位公章。</w:t>
      </w:r>
    </w:p>
    <w:p>
      <w:pPr>
        <w:numPr>
          <w:ilvl w:val="2"/>
          <w:numId w:val="47"/>
        </w:numPr>
        <w:snapToGrid w:val="0"/>
        <w:spacing w:line="360" w:lineRule="auto"/>
        <w:ind w:left="567" w:hanging="567"/>
        <w:rPr>
          <w:color w:val="auto"/>
          <w:sz w:val="24"/>
          <w:highlight w:val="none"/>
        </w:rPr>
      </w:pPr>
      <w:r>
        <w:rPr>
          <w:rFonts w:hint="eastAsia"/>
          <w:color w:val="auto"/>
          <w:sz w:val="24"/>
          <w:highlight w:val="none"/>
        </w:rPr>
        <w:t>如公司通过服务外包工方式聘用了建档立卡贫困人员，还应提供公司与服务外包公司签订的合同或协议，以及扶贫部门出具的该服务外包聘用建档立卡贫困人员具体数量证明，并加盖供应商单位公章。</w:t>
      </w:r>
    </w:p>
    <w:p>
      <w:pPr>
        <w:snapToGrid w:val="0"/>
        <w:spacing w:beforeLines="50" w:afterLines="50" w:line="360" w:lineRule="auto"/>
        <w:jc w:val="center"/>
        <w:outlineLvl w:val="0"/>
        <w:rPr>
          <w:b/>
          <w:bCs/>
          <w:color w:val="auto"/>
          <w:sz w:val="28"/>
          <w:szCs w:val="28"/>
          <w:highlight w:val="none"/>
        </w:rPr>
      </w:pPr>
      <w:bookmarkStart w:id="20" w:name="_Toc6566"/>
      <w:r>
        <w:rPr>
          <w:b/>
          <w:bCs/>
          <w:color w:val="auto"/>
          <w:sz w:val="28"/>
          <w:szCs w:val="28"/>
          <w:highlight w:val="none"/>
        </w:rPr>
        <w:t>第</w:t>
      </w:r>
      <w:r>
        <w:rPr>
          <w:rFonts w:hint="eastAsia"/>
          <w:b/>
          <w:bCs/>
          <w:color w:val="auto"/>
          <w:sz w:val="28"/>
          <w:szCs w:val="28"/>
          <w:highlight w:val="none"/>
        </w:rPr>
        <w:t>四</w:t>
      </w:r>
      <w:r>
        <w:rPr>
          <w:b/>
          <w:bCs/>
          <w:color w:val="auto"/>
          <w:sz w:val="28"/>
          <w:szCs w:val="28"/>
          <w:highlight w:val="none"/>
        </w:rPr>
        <w:t>章投标人须知</w:t>
      </w:r>
      <w:bookmarkEnd w:id="15"/>
      <w:bookmarkEnd w:id="20"/>
    </w:p>
    <w:p>
      <w:pPr>
        <w:snapToGrid w:val="0"/>
        <w:spacing w:beforeLines="50" w:afterLines="50" w:line="360" w:lineRule="auto"/>
        <w:ind w:left="420"/>
        <w:jc w:val="center"/>
        <w:outlineLvl w:val="1"/>
        <w:rPr>
          <w:b/>
          <w:bCs/>
          <w:color w:val="auto"/>
          <w:sz w:val="28"/>
          <w:szCs w:val="28"/>
          <w:highlight w:val="none"/>
        </w:rPr>
      </w:pPr>
      <w:bookmarkStart w:id="21" w:name="_Toc11585"/>
      <w:r>
        <w:rPr>
          <w:rFonts w:hint="eastAsia"/>
          <w:b/>
          <w:bCs/>
          <w:color w:val="auto"/>
          <w:sz w:val="28"/>
          <w:szCs w:val="28"/>
          <w:highlight w:val="none"/>
        </w:rPr>
        <w:t>第一部分 投标人须知前附表</w:t>
      </w:r>
      <w:bookmarkEnd w:id="21"/>
    </w:p>
    <w:p>
      <w:pPr>
        <w:spacing w:line="360" w:lineRule="auto"/>
        <w:ind w:right="-1"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说明：本投标人须知前附表的条款项号与《投标人须知通用条款》的条款项号一一对应，是对《投标人须知通用条款》补充、修改和完善，如果有矛盾之处，应以本投标人须知前附表为准。</w:t>
      </w:r>
    </w:p>
    <w:tbl>
      <w:tblPr>
        <w:tblStyle w:val="16"/>
        <w:tblW w:w="998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708"/>
        <w:gridCol w:w="1418"/>
        <w:gridCol w:w="65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022" w:type="dxa"/>
            <w:gridSpan w:val="2"/>
            <w:vAlign w:val="center"/>
          </w:tcPr>
          <w:p>
            <w:pPr>
              <w:jc w:val="center"/>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条款</w:t>
            </w:r>
            <w:r>
              <w:rPr>
                <w:rFonts w:hint="eastAsia" w:asciiTheme="minorEastAsia" w:hAnsiTheme="minorEastAsia" w:eastAsiaTheme="minorEastAsia"/>
                <w:b/>
                <w:color w:val="auto"/>
                <w:sz w:val="24"/>
                <w:highlight w:val="none"/>
              </w:rPr>
              <w:t>项</w:t>
            </w:r>
            <w:r>
              <w:rPr>
                <w:rFonts w:asciiTheme="minorEastAsia" w:hAnsiTheme="minorEastAsia" w:eastAsiaTheme="minorEastAsia"/>
                <w:b/>
                <w:color w:val="auto"/>
                <w:sz w:val="24"/>
                <w:highlight w:val="none"/>
              </w:rPr>
              <w:t>号</w:t>
            </w:r>
          </w:p>
        </w:tc>
        <w:tc>
          <w:tcPr>
            <w:tcW w:w="1418" w:type="dxa"/>
            <w:vAlign w:val="center"/>
          </w:tcPr>
          <w:p>
            <w:pPr>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内容</w:t>
            </w:r>
          </w:p>
        </w:tc>
        <w:tc>
          <w:tcPr>
            <w:tcW w:w="6546" w:type="dxa"/>
            <w:vAlign w:val="center"/>
          </w:tcPr>
          <w:p>
            <w:pPr>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说明与要求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9986" w:type="dxa"/>
            <w:gridSpan w:val="4"/>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b/>
                <w:color w:val="auto"/>
                <w:sz w:val="24"/>
                <w:highlight w:val="none"/>
              </w:rPr>
              <w:t>二、招标文件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866" w:hRule="atLeast"/>
          <w:jc w:val="center"/>
        </w:trPr>
        <w:tc>
          <w:tcPr>
            <w:tcW w:w="1314"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（三）</w:t>
            </w:r>
          </w:p>
        </w:tc>
        <w:tc>
          <w:tcPr>
            <w:tcW w:w="708"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p>
        </w:tc>
        <w:tc>
          <w:tcPr>
            <w:tcW w:w="1418"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现场考察或答疑会</w:t>
            </w:r>
          </w:p>
        </w:tc>
        <w:tc>
          <w:tcPr>
            <w:tcW w:w="6546" w:type="dxa"/>
            <w:vAlign w:val="center"/>
          </w:tcPr>
          <w:p>
            <w:pPr>
              <w:tabs>
                <w:tab w:val="left" w:pos="459"/>
                <w:tab w:val="left" w:pos="601"/>
              </w:tabs>
              <w:snapToGrid w:val="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☑不举行；</w:t>
            </w:r>
          </w:p>
          <w:p>
            <w:pPr>
              <w:tabs>
                <w:tab w:val="left" w:pos="459"/>
                <w:tab w:val="left" w:pos="601"/>
              </w:tabs>
              <w:snapToGrid w:val="0"/>
              <w:rPr>
                <w:rFonts w:cs="宋体" w:asciiTheme="minorEastAsia" w:hAnsiTheme="minorEastAsia" w:eastAsiaTheme="minorEastAsia"/>
                <w:b/>
                <w:color w:val="auto"/>
                <w:sz w:val="24"/>
                <w:highlight w:val="none"/>
                <w:lang w:val="zh-CN"/>
              </w:rPr>
            </w:pPr>
            <w:r>
              <w:rPr>
                <w:rFonts w:hint="eastAsia" w:asciiTheme="minorEastAsia" w:hAnsiTheme="minorEastAsia" w:eastAsiaTheme="minorEastAsia"/>
                <w:color w:val="auto"/>
                <w:sz w:val="24"/>
                <w:highlight w:val="none"/>
              </w:rPr>
              <w:t>□举行：</w:t>
            </w:r>
          </w:p>
          <w:p>
            <w:pPr>
              <w:pStyle w:val="24"/>
              <w:numPr>
                <w:ilvl w:val="0"/>
                <w:numId w:val="48"/>
              </w:numPr>
              <w:tabs>
                <w:tab w:val="left" w:pos="241"/>
                <w:tab w:val="left" w:pos="601"/>
              </w:tabs>
              <w:snapToGrid w:val="0"/>
              <w:ind w:firstLineChars="0"/>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集中时间：年月日：</w:t>
            </w:r>
          </w:p>
          <w:p>
            <w:pPr>
              <w:pStyle w:val="24"/>
              <w:numPr>
                <w:ilvl w:val="0"/>
                <w:numId w:val="48"/>
              </w:numPr>
              <w:tabs>
                <w:tab w:val="left" w:pos="241"/>
                <w:tab w:val="left" w:pos="601"/>
              </w:tabs>
              <w:snapToGrid w:val="0"/>
              <w:ind w:firstLineChars="0"/>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地点：</w:t>
            </w:r>
            <w:r>
              <w:rPr>
                <w:rFonts w:hint="eastAsia" w:cs="宋体" w:asciiTheme="minorEastAsia" w:hAnsiTheme="minorEastAsia" w:eastAsiaTheme="minorEastAsia"/>
                <w:color w:val="auto"/>
                <w:sz w:val="24"/>
                <w:highlight w:val="none"/>
                <w:u w:val="single"/>
                <w:lang w:val="zh-CN"/>
              </w:rPr>
              <w:t>（必须明确写明具体门牌号）</w:t>
            </w:r>
          </w:p>
          <w:p>
            <w:pPr>
              <w:pStyle w:val="24"/>
              <w:numPr>
                <w:ilvl w:val="0"/>
                <w:numId w:val="48"/>
              </w:numPr>
              <w:tabs>
                <w:tab w:val="left" w:pos="241"/>
                <w:tab w:val="left" w:pos="601"/>
              </w:tabs>
              <w:snapToGrid w:val="0"/>
              <w:ind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联系人：</w:t>
            </w:r>
          </w:p>
          <w:p>
            <w:pPr>
              <w:pStyle w:val="24"/>
              <w:numPr>
                <w:ilvl w:val="0"/>
                <w:numId w:val="48"/>
              </w:numPr>
              <w:tabs>
                <w:tab w:val="left" w:pos="241"/>
                <w:tab w:val="left" w:pos="601"/>
              </w:tabs>
              <w:snapToGrid w:val="0"/>
              <w:ind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联系电话：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9986" w:type="dxa"/>
            <w:gridSpan w:val="4"/>
            <w:vAlign w:val="center"/>
          </w:tcPr>
          <w:p>
            <w:pPr>
              <w:jc w:val="center"/>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三、投标文件的编制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80" w:hRule="atLeast"/>
          <w:jc w:val="center"/>
        </w:trPr>
        <w:tc>
          <w:tcPr>
            <w:tcW w:w="1314" w:type="dxa"/>
            <w:vMerge w:val="restart"/>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（四）</w:t>
            </w:r>
          </w:p>
        </w:tc>
        <w:tc>
          <w:tcPr>
            <w:tcW w:w="708" w:type="dxa"/>
            <w:vAlign w:val="center"/>
          </w:tcPr>
          <w:p>
            <w:pPr>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p>
        </w:tc>
        <w:tc>
          <w:tcPr>
            <w:tcW w:w="1418" w:type="dxa"/>
            <w:vAlign w:val="center"/>
          </w:tcPr>
          <w:p>
            <w:pPr>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投标文件</w:t>
            </w:r>
            <w:r>
              <w:rPr>
                <w:rFonts w:hint="eastAsia" w:asciiTheme="minorEastAsia" w:hAnsiTheme="minorEastAsia" w:eastAsiaTheme="minorEastAsia"/>
                <w:color w:val="auto"/>
                <w:sz w:val="24"/>
                <w:highlight w:val="none"/>
              </w:rPr>
              <w:t>式样与</w:t>
            </w:r>
            <w:r>
              <w:rPr>
                <w:rFonts w:asciiTheme="minorEastAsia" w:hAnsiTheme="minorEastAsia" w:eastAsiaTheme="minorEastAsia"/>
                <w:color w:val="auto"/>
                <w:sz w:val="24"/>
                <w:highlight w:val="none"/>
              </w:rPr>
              <w:t>份数</w:t>
            </w:r>
          </w:p>
        </w:tc>
        <w:tc>
          <w:tcPr>
            <w:tcW w:w="6546" w:type="dxa"/>
            <w:vAlign w:val="center"/>
          </w:tcPr>
          <w:p>
            <w:pPr>
              <w:pStyle w:val="24"/>
              <w:numPr>
                <w:ilvl w:val="0"/>
                <w:numId w:val="49"/>
              </w:numPr>
              <w:tabs>
                <w:tab w:val="left" w:pos="459"/>
                <w:tab w:val="left" w:pos="601"/>
              </w:tabs>
              <w:snapToGrid w:val="0"/>
              <w:ind w:firstLineChars="0"/>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正本一份，副本</w:t>
            </w:r>
            <w:r>
              <w:rPr>
                <w:rFonts w:hint="eastAsia" w:asciiTheme="minorEastAsia" w:hAnsiTheme="minorEastAsia" w:eastAsiaTheme="minorEastAsia"/>
                <w:color w:val="auto"/>
                <w:sz w:val="24"/>
                <w:highlight w:val="none"/>
                <w:u w:val="single"/>
              </w:rPr>
              <w:t>五</w:t>
            </w:r>
            <w:r>
              <w:rPr>
                <w:rFonts w:asciiTheme="minorEastAsia" w:hAnsiTheme="minorEastAsia" w:eastAsiaTheme="minorEastAsia"/>
                <w:color w:val="auto"/>
                <w:sz w:val="24"/>
                <w:highlight w:val="none"/>
              </w:rPr>
              <w:t>份，电子介质</w:t>
            </w:r>
            <w:r>
              <w:rPr>
                <w:rFonts w:hint="eastAsia" w:asciiTheme="minorEastAsia" w:hAnsiTheme="minorEastAsia" w:eastAsiaTheme="minorEastAsia"/>
                <w:color w:val="auto"/>
                <w:sz w:val="24"/>
                <w:highlight w:val="none"/>
              </w:rPr>
              <w:t>一</w:t>
            </w:r>
            <w:r>
              <w:rPr>
                <w:rFonts w:asciiTheme="minorEastAsia" w:hAnsiTheme="minorEastAsia" w:eastAsiaTheme="minorEastAsia"/>
                <w:color w:val="auto"/>
                <w:sz w:val="24"/>
                <w:highlight w:val="none"/>
              </w:rPr>
              <w:t>份。</w:t>
            </w:r>
          </w:p>
          <w:p>
            <w:pPr>
              <w:pStyle w:val="24"/>
              <w:numPr>
                <w:ilvl w:val="0"/>
                <w:numId w:val="49"/>
              </w:numPr>
              <w:tabs>
                <w:tab w:val="left" w:pos="459"/>
                <w:tab w:val="left" w:pos="601"/>
              </w:tabs>
              <w:snapToGrid w:val="0"/>
              <w:ind w:left="601" w:hanging="601" w:firstLineChars="0"/>
              <w:rPr>
                <w:rFonts w:ascii="宋体" w:hAnsi="宋体" w:cs="宋体"/>
                <w:color w:val="auto"/>
                <w:sz w:val="24"/>
                <w:highlight w:val="none"/>
              </w:rPr>
            </w:pPr>
            <w:r>
              <w:rPr>
                <w:rFonts w:hint="eastAsia" w:ascii="宋体" w:hAnsi="宋体" w:cs="宋体"/>
                <w:color w:val="auto"/>
                <w:sz w:val="24"/>
                <w:highlight w:val="none"/>
                <w:lang w:eastAsia="zh-TW"/>
              </w:rPr>
              <w:t>投标文件的副本</w:t>
            </w:r>
            <w:r>
              <w:rPr>
                <w:rFonts w:hint="eastAsia" w:ascii="宋体" w:hAnsi="宋体" w:cs="宋体"/>
                <w:color w:val="auto"/>
                <w:sz w:val="24"/>
                <w:highlight w:val="none"/>
              </w:rPr>
              <w:t>可采用</w:t>
            </w:r>
            <w:r>
              <w:rPr>
                <w:rFonts w:hint="eastAsia" w:ascii="宋体" w:hAnsi="宋体" w:cs="宋体"/>
                <w:color w:val="auto"/>
                <w:sz w:val="24"/>
                <w:highlight w:val="none"/>
                <w:lang w:eastAsia="zh-TW"/>
              </w:rPr>
              <w:t>正本的复印件。每套投标文件须清楚地标明“正本”或</w:t>
            </w:r>
            <w:r>
              <w:rPr>
                <w:rFonts w:hint="eastAsia" w:ascii="宋体" w:hAnsi="宋体" w:cs="宋体"/>
                <w:color w:val="auto"/>
                <w:sz w:val="24"/>
                <w:highlight w:val="none"/>
              </w:rPr>
              <w:t>“副</w:t>
            </w:r>
            <w:r>
              <w:rPr>
                <w:rFonts w:hint="eastAsia" w:ascii="宋体" w:hAnsi="宋体" w:cs="宋体"/>
                <w:color w:val="auto"/>
                <w:sz w:val="24"/>
                <w:highlight w:val="none"/>
                <w:lang w:eastAsia="zh-TW"/>
              </w:rPr>
              <w:t>本</w:t>
            </w:r>
            <w:r>
              <w:rPr>
                <w:rFonts w:hint="eastAsia" w:ascii="宋体" w:hAnsi="宋体" w:cs="宋体"/>
                <w:color w:val="auto"/>
                <w:sz w:val="24"/>
                <w:highlight w:val="none"/>
              </w:rPr>
              <w:t>”</w:t>
            </w:r>
            <w:r>
              <w:rPr>
                <w:rFonts w:hint="eastAsia" w:ascii="宋体" w:hAnsi="宋体" w:cs="宋体"/>
                <w:color w:val="auto"/>
                <w:sz w:val="24"/>
                <w:highlight w:val="none"/>
                <w:lang w:eastAsia="zh-TW"/>
              </w:rPr>
              <w:t>。</w:t>
            </w:r>
            <w:r>
              <w:rPr>
                <w:rFonts w:hint="eastAsia" w:ascii="宋体" w:hAnsi="宋体" w:cs="宋体"/>
                <w:color w:val="auto"/>
                <w:sz w:val="24"/>
                <w:highlight w:val="none"/>
              </w:rPr>
              <w:t>若副本与正本不符，以正本为准。</w:t>
            </w:r>
          </w:p>
          <w:p>
            <w:pPr>
              <w:pStyle w:val="24"/>
              <w:numPr>
                <w:ilvl w:val="0"/>
                <w:numId w:val="49"/>
              </w:numPr>
              <w:tabs>
                <w:tab w:val="left" w:pos="459"/>
                <w:tab w:val="left" w:pos="601"/>
              </w:tabs>
              <w:snapToGrid w:val="0"/>
              <w:ind w:left="601" w:hanging="601"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电子介质是指将按招标文件要求签署、盖章后的正本投标文件扫描成PDF格式后拷贝至无病毒无密码的U盘或光盘。</w:t>
            </w:r>
          </w:p>
          <w:p>
            <w:pPr>
              <w:pStyle w:val="24"/>
              <w:numPr>
                <w:ilvl w:val="0"/>
                <w:numId w:val="49"/>
              </w:numPr>
              <w:tabs>
                <w:tab w:val="left" w:pos="459"/>
                <w:tab w:val="left" w:pos="601"/>
              </w:tabs>
              <w:snapToGrid w:val="0"/>
              <w:ind w:left="601" w:hanging="601" w:firstLineChars="0"/>
              <w:rPr>
                <w:rFonts w:asciiTheme="minorEastAsia" w:hAnsiTheme="minorEastAsia" w:eastAsiaTheme="minorEastAsia"/>
                <w:color w:val="auto"/>
                <w:sz w:val="24"/>
                <w:highlight w:val="none"/>
              </w:rPr>
            </w:pPr>
            <w:r>
              <w:rPr>
                <w:rFonts w:hint="eastAsia" w:ascii="宋体" w:hAnsi="宋体" w:cs="宋体"/>
                <w:color w:val="auto"/>
                <w:sz w:val="24"/>
                <w:highlight w:val="none"/>
                <w:lang w:eastAsia="zh-TW"/>
              </w:rPr>
              <w:t>若</w:t>
            </w:r>
            <w:r>
              <w:rPr>
                <w:rFonts w:hint="eastAsia" w:ascii="宋体" w:hAnsi="宋体" w:cs="宋体"/>
                <w:color w:val="auto"/>
                <w:sz w:val="24"/>
                <w:highlight w:val="none"/>
              </w:rPr>
              <w:t>电子介质的投标文件</w:t>
            </w:r>
            <w:r>
              <w:rPr>
                <w:rFonts w:hint="eastAsia" w:ascii="宋体" w:hAnsi="宋体" w:cs="宋体"/>
                <w:color w:val="auto"/>
                <w:sz w:val="24"/>
                <w:highlight w:val="none"/>
                <w:lang w:eastAsia="zh-TW"/>
              </w:rPr>
              <w:t>与</w:t>
            </w:r>
            <w:r>
              <w:rPr>
                <w:rFonts w:hint="eastAsia" w:ascii="宋体" w:hAnsi="宋体" w:cs="宋体"/>
                <w:color w:val="auto"/>
                <w:sz w:val="24"/>
                <w:highlight w:val="none"/>
              </w:rPr>
              <w:t>纸质投标文件</w:t>
            </w:r>
            <w:r>
              <w:rPr>
                <w:rFonts w:hint="eastAsia" w:ascii="宋体" w:hAnsi="宋体" w:cs="宋体"/>
                <w:color w:val="auto"/>
                <w:sz w:val="24"/>
                <w:highlight w:val="none"/>
                <w:lang w:eastAsia="zh-TW"/>
              </w:rPr>
              <w:t>不符</w:t>
            </w:r>
            <w:r>
              <w:rPr>
                <w:rFonts w:hint="eastAsia" w:ascii="宋体" w:hAnsi="宋体" w:cs="宋体"/>
                <w:color w:val="auto"/>
                <w:sz w:val="24"/>
                <w:highlight w:val="none"/>
              </w:rPr>
              <w:t>，</w:t>
            </w:r>
            <w:r>
              <w:rPr>
                <w:rFonts w:hint="eastAsia" w:ascii="宋体" w:hAnsi="宋体" w:cs="宋体"/>
                <w:color w:val="auto"/>
                <w:sz w:val="24"/>
                <w:highlight w:val="none"/>
                <w:lang w:eastAsia="zh-TW"/>
              </w:rPr>
              <w:t>以</w:t>
            </w:r>
            <w:r>
              <w:rPr>
                <w:rFonts w:hint="eastAsia" w:ascii="宋体" w:hAnsi="宋体" w:cs="宋体"/>
                <w:color w:val="auto"/>
                <w:sz w:val="24"/>
                <w:highlight w:val="none"/>
              </w:rPr>
              <w:t>纸质投标文件</w:t>
            </w:r>
            <w:r>
              <w:rPr>
                <w:rFonts w:hint="eastAsia" w:ascii="宋体" w:hAnsi="宋体" w:cs="宋体"/>
                <w:color w:val="auto"/>
                <w:sz w:val="24"/>
                <w:highlight w:val="none"/>
                <w:lang w:eastAsia="zh-TW"/>
              </w:rPr>
              <w:t>为准</w:t>
            </w:r>
            <w:r>
              <w:rPr>
                <w:rFonts w:hint="eastAsia" w:asciiTheme="minorEastAsia" w:hAnsiTheme="minorEastAsia" w:eastAsiaTheme="minorEastAsia"/>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1314" w:type="dxa"/>
            <w:vMerge w:val="continue"/>
            <w:vAlign w:val="center"/>
          </w:tcPr>
          <w:p>
            <w:pPr>
              <w:jc w:val="center"/>
              <w:rPr>
                <w:rFonts w:asciiTheme="minorEastAsia" w:hAnsiTheme="minorEastAsia" w:eastAsiaTheme="minorEastAsia"/>
                <w:color w:val="auto"/>
                <w:sz w:val="24"/>
                <w:highlight w:val="none"/>
              </w:rPr>
            </w:pPr>
          </w:p>
        </w:tc>
        <w:tc>
          <w:tcPr>
            <w:tcW w:w="708"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p>
        </w:tc>
        <w:tc>
          <w:tcPr>
            <w:tcW w:w="1418"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单独密封资料</w:t>
            </w:r>
          </w:p>
        </w:tc>
        <w:tc>
          <w:tcPr>
            <w:tcW w:w="6546" w:type="dxa"/>
            <w:vAlign w:val="center"/>
          </w:tcPr>
          <w:p>
            <w:pPr>
              <w:tabs>
                <w:tab w:val="left" w:pos="459"/>
                <w:tab w:val="left" w:pos="601"/>
              </w:tabs>
              <w:snapToGrid w:val="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投标人还应将下述资料一并单独密封提交，并在信封上标明“单独密封资料”字样，为了方便后续相关事宜的办理。</w:t>
            </w:r>
          </w:p>
          <w:p>
            <w:pPr>
              <w:numPr>
                <w:ilvl w:val="0"/>
                <w:numId w:val="50"/>
              </w:numPr>
              <w:tabs>
                <w:tab w:val="left" w:pos="459"/>
                <w:tab w:val="left" w:pos="601"/>
              </w:tabs>
              <w:snapToGrid w:val="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退投标保证金说明；</w:t>
            </w:r>
          </w:p>
          <w:p>
            <w:pPr>
              <w:numPr>
                <w:ilvl w:val="0"/>
                <w:numId w:val="50"/>
              </w:numPr>
              <w:tabs>
                <w:tab w:val="left" w:pos="459"/>
                <w:tab w:val="left" w:pos="601"/>
              </w:tabs>
              <w:snapToGrid w:val="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电子介质；</w:t>
            </w:r>
          </w:p>
          <w:p>
            <w:pPr>
              <w:numPr>
                <w:ilvl w:val="0"/>
                <w:numId w:val="50"/>
              </w:numPr>
              <w:tabs>
                <w:tab w:val="left" w:pos="459"/>
                <w:tab w:val="left" w:pos="601"/>
              </w:tabs>
              <w:snapToGrid w:val="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开票资料说明函；</w:t>
            </w:r>
          </w:p>
          <w:p>
            <w:pPr>
              <w:numPr>
                <w:ilvl w:val="0"/>
                <w:numId w:val="50"/>
              </w:numPr>
              <w:tabs>
                <w:tab w:val="left" w:pos="459"/>
                <w:tab w:val="left" w:pos="601"/>
              </w:tabs>
              <w:snapToGrid w:val="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营业执照</w:t>
            </w:r>
            <w:r>
              <w:rPr>
                <w:rFonts w:hint="eastAsia" w:asciiTheme="minorEastAsia" w:hAnsiTheme="minorEastAsia" w:eastAsiaTheme="minorEastAsia"/>
                <w:bCs/>
                <w:color w:val="auto"/>
                <w:sz w:val="24"/>
                <w:highlight w:val="none"/>
              </w:rPr>
              <w:t>（或事业单位法人证书或社会团体法人登记证书）。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14" w:type="dxa"/>
            <w:vMerge w:val="restart"/>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（五）</w:t>
            </w:r>
          </w:p>
        </w:tc>
        <w:tc>
          <w:tcPr>
            <w:tcW w:w="708"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1</w:t>
            </w:r>
          </w:p>
        </w:tc>
        <w:tc>
          <w:tcPr>
            <w:tcW w:w="1418"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投标报价</w:t>
            </w:r>
          </w:p>
        </w:tc>
        <w:tc>
          <w:tcPr>
            <w:tcW w:w="6546" w:type="dxa"/>
            <w:vAlign w:val="center"/>
          </w:tcPr>
          <w:p>
            <w:pPr>
              <w:pStyle w:val="24"/>
              <w:numPr>
                <w:ilvl w:val="0"/>
                <w:numId w:val="51"/>
              </w:numPr>
              <w:tabs>
                <w:tab w:val="left" w:pos="459"/>
                <w:tab w:val="left" w:pos="601"/>
              </w:tabs>
              <w:snapToGrid w:val="0"/>
              <w:ind w:left="524" w:hanging="524"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投标报价（总价）中不得包含招标文件要求以外的内容，否则，在评标时不予核减。</w:t>
            </w:r>
          </w:p>
          <w:p>
            <w:pPr>
              <w:pStyle w:val="24"/>
              <w:numPr>
                <w:ilvl w:val="0"/>
                <w:numId w:val="51"/>
              </w:numPr>
              <w:tabs>
                <w:tab w:val="left" w:pos="459"/>
                <w:tab w:val="left" w:pos="601"/>
              </w:tabs>
              <w:snapToGrid w:val="0"/>
              <w:ind w:left="524" w:hanging="524" w:firstLineChars="0"/>
              <w:rPr>
                <w:rFonts w:ascii="宋体" w:hAnsi="宋体" w:cs="宋体"/>
                <w:color w:val="auto"/>
                <w:sz w:val="24"/>
                <w:highlight w:val="none"/>
              </w:rPr>
            </w:pPr>
            <w:r>
              <w:rPr>
                <w:rFonts w:hint="eastAsia" w:cs="宋体" w:asciiTheme="minorEastAsia" w:hAnsiTheme="minorEastAsia" w:eastAsiaTheme="minorEastAsia"/>
                <w:color w:val="auto"/>
                <w:sz w:val="24"/>
                <w:highlight w:val="none"/>
              </w:rPr>
              <w:t>若投标报价有缺漏项的，缺漏项部分的价格视为已包含在投标报价中，中标后不作任何调整。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77" w:hRule="atLeast"/>
          <w:jc w:val="center"/>
        </w:trPr>
        <w:tc>
          <w:tcPr>
            <w:tcW w:w="1314" w:type="dxa"/>
            <w:vMerge w:val="continue"/>
            <w:vAlign w:val="center"/>
          </w:tcPr>
          <w:p>
            <w:pPr>
              <w:jc w:val="center"/>
              <w:rPr>
                <w:rFonts w:asciiTheme="minorEastAsia" w:hAnsiTheme="minorEastAsia" w:eastAsiaTheme="minorEastAsia"/>
                <w:color w:val="auto"/>
                <w:sz w:val="24"/>
                <w:highlight w:val="none"/>
              </w:rPr>
            </w:pPr>
          </w:p>
        </w:tc>
        <w:tc>
          <w:tcPr>
            <w:tcW w:w="708" w:type="dxa"/>
            <w:vAlign w:val="center"/>
          </w:tcPr>
          <w:p>
            <w:pPr>
              <w:jc w:val="center"/>
              <w:rPr>
                <w:rFonts w:ascii="宋体" w:hAnsi="宋体" w:cs="宋体"/>
                <w:color w:val="auto"/>
                <w:sz w:val="24"/>
                <w:highlight w:val="none"/>
              </w:rPr>
            </w:pPr>
            <w:r>
              <w:rPr>
                <w:rFonts w:hint="eastAsia" w:asciiTheme="minorEastAsia" w:hAnsiTheme="minorEastAsia" w:eastAsiaTheme="minorEastAsia"/>
                <w:color w:val="auto"/>
                <w:sz w:val="24"/>
                <w:highlight w:val="none"/>
              </w:rPr>
              <w:t>2</w:t>
            </w:r>
          </w:p>
        </w:tc>
        <w:tc>
          <w:tcPr>
            <w:tcW w:w="1418"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投标分项报价</w:t>
            </w:r>
          </w:p>
        </w:tc>
        <w:tc>
          <w:tcPr>
            <w:tcW w:w="6546" w:type="dxa"/>
            <w:vAlign w:val="center"/>
          </w:tcPr>
          <w:p>
            <w:pPr>
              <w:tabs>
                <w:tab w:val="left" w:pos="459"/>
                <w:tab w:val="left" w:pos="601"/>
              </w:tabs>
              <w:snapToGrid w:val="0"/>
              <w:rPr>
                <w:rFonts w:ascii="宋体" w:hAnsi="宋体" w:cs="宋体"/>
                <w:color w:val="auto"/>
                <w:sz w:val="24"/>
                <w:highlight w:val="none"/>
              </w:rPr>
            </w:pPr>
            <w:r>
              <w:rPr>
                <w:rFonts w:hint="eastAsia" w:cs="宋体" w:asciiTheme="minorEastAsia" w:hAnsiTheme="minorEastAsia" w:eastAsiaTheme="minorEastAsia"/>
                <w:color w:val="auto"/>
                <w:sz w:val="24"/>
                <w:highlight w:val="none"/>
                <w:lang w:val="zh-CN"/>
              </w:rPr>
              <w:t>包</w:t>
            </w:r>
            <w:r>
              <w:rPr>
                <w:rFonts w:cs="宋体" w:asciiTheme="minorEastAsia" w:hAnsiTheme="minorEastAsia" w:eastAsiaTheme="minorEastAsia"/>
                <w:color w:val="auto"/>
                <w:sz w:val="24"/>
                <w:highlight w:val="none"/>
                <w:lang w:val="zh-CN"/>
              </w:rPr>
              <w:t>括但不</w:t>
            </w:r>
            <w:r>
              <w:rPr>
                <w:rFonts w:hint="eastAsia" w:cs="宋体" w:asciiTheme="minorEastAsia" w:hAnsiTheme="minorEastAsia" w:eastAsiaTheme="minorEastAsia"/>
                <w:color w:val="auto"/>
                <w:sz w:val="24"/>
                <w:highlight w:val="none"/>
                <w:lang w:val="zh-CN"/>
              </w:rPr>
              <w:t>仅仅</w:t>
            </w:r>
            <w:r>
              <w:rPr>
                <w:rFonts w:cs="宋体" w:asciiTheme="minorEastAsia" w:hAnsiTheme="minorEastAsia" w:eastAsiaTheme="minorEastAsia"/>
                <w:color w:val="auto"/>
                <w:sz w:val="24"/>
                <w:highlight w:val="none"/>
                <w:lang w:val="zh-CN"/>
              </w:rPr>
              <w:t>限于</w:t>
            </w:r>
            <w:r>
              <w:rPr>
                <w:rFonts w:hint="eastAsia" w:cs="宋体" w:asciiTheme="minorEastAsia" w:hAnsiTheme="minorEastAsia" w:eastAsiaTheme="minorEastAsia"/>
                <w:color w:val="auto"/>
                <w:sz w:val="24"/>
                <w:highlight w:val="none"/>
                <w:lang w:val="zh-CN"/>
              </w:rPr>
              <w:t>：</w:t>
            </w:r>
            <w:r>
              <w:rPr>
                <w:rFonts w:cs="宋体" w:asciiTheme="minorEastAsia" w:hAnsiTheme="minorEastAsia" w:eastAsiaTheme="minorEastAsia"/>
                <w:color w:val="auto"/>
                <w:sz w:val="24"/>
                <w:highlight w:val="none"/>
                <w:lang w:val="zh-CN"/>
              </w:rPr>
              <w:t>项目的</w:t>
            </w:r>
            <w:r>
              <w:rPr>
                <w:rFonts w:hint="eastAsia" w:cs="宋体" w:asciiTheme="minorEastAsia" w:hAnsiTheme="minorEastAsia" w:eastAsiaTheme="minorEastAsia"/>
                <w:color w:val="auto"/>
                <w:sz w:val="24"/>
                <w:highlight w:val="none"/>
                <w:lang w:val="zh-CN"/>
              </w:rPr>
              <w:t>服务价格（不限于</w:t>
            </w:r>
            <w:r>
              <w:rPr>
                <w:rFonts w:hint="eastAsia" w:cs="宋体" w:asciiTheme="minorEastAsia" w:hAnsiTheme="minorEastAsia"/>
                <w:color w:val="auto"/>
                <w:sz w:val="24"/>
                <w:highlight w:val="none"/>
              </w:rPr>
              <w:t>项目实施过程中的检验费、购样费、抽样机、分析报告等</w:t>
            </w:r>
            <w:r>
              <w:rPr>
                <w:rFonts w:hint="eastAsia" w:cs="宋体" w:asciiTheme="minorEastAsia" w:hAnsiTheme="minorEastAsia" w:eastAsiaTheme="minorEastAsia"/>
                <w:color w:val="auto"/>
                <w:sz w:val="24"/>
                <w:highlight w:val="none"/>
                <w:lang w:val="zh-CN"/>
              </w:rPr>
              <w:t>），应向中华人民共和国政府缴纳的增值税和其它税等全部税费、</w:t>
            </w:r>
            <w:r>
              <w:rPr>
                <w:rFonts w:cs="宋体" w:asciiTheme="minorEastAsia" w:hAnsiTheme="minorEastAsia" w:eastAsiaTheme="minorEastAsia"/>
                <w:color w:val="auto"/>
                <w:sz w:val="24"/>
                <w:highlight w:val="none"/>
                <w:lang w:val="zh-CN"/>
              </w:rPr>
              <w:t>以及</w:t>
            </w:r>
            <w:r>
              <w:rPr>
                <w:rFonts w:hint="eastAsia" w:cs="宋体" w:asciiTheme="minorEastAsia" w:hAnsiTheme="minorEastAsia" w:eastAsiaTheme="minorEastAsia"/>
                <w:color w:val="auto"/>
                <w:sz w:val="24"/>
                <w:highlight w:val="none"/>
                <w:lang w:val="zh-CN"/>
              </w:rPr>
              <w:t>履行合同所需的费用、</w:t>
            </w:r>
            <w:r>
              <w:rPr>
                <w:rFonts w:cs="宋体" w:asciiTheme="minorEastAsia" w:hAnsiTheme="minorEastAsia" w:eastAsiaTheme="minorEastAsia"/>
                <w:color w:val="auto"/>
                <w:sz w:val="24"/>
                <w:highlight w:val="none"/>
                <w:lang w:val="zh-CN"/>
              </w:rPr>
              <w:t>所有风险、责任等</w:t>
            </w:r>
            <w:r>
              <w:rPr>
                <w:rFonts w:hint="eastAsia" w:cs="宋体" w:asciiTheme="minorEastAsia" w:hAnsiTheme="minorEastAsia" w:eastAsiaTheme="minorEastAsia"/>
                <w:color w:val="auto"/>
                <w:sz w:val="24"/>
                <w:highlight w:val="none"/>
                <w:lang w:val="zh-CN"/>
              </w:rPr>
              <w:t>其他一切隐含及不可预见的费用。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1314" w:type="dxa"/>
            <w:vMerge w:val="continue"/>
            <w:vAlign w:val="center"/>
          </w:tcPr>
          <w:p>
            <w:pPr>
              <w:jc w:val="center"/>
              <w:rPr>
                <w:rFonts w:asciiTheme="minorEastAsia" w:hAnsiTheme="minorEastAsia" w:eastAsiaTheme="minorEastAsia"/>
                <w:color w:val="auto"/>
                <w:sz w:val="24"/>
                <w:highlight w:val="none"/>
              </w:rPr>
            </w:pPr>
          </w:p>
        </w:tc>
        <w:tc>
          <w:tcPr>
            <w:tcW w:w="708"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w:t>
            </w:r>
          </w:p>
        </w:tc>
        <w:tc>
          <w:tcPr>
            <w:tcW w:w="1418"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备选方案</w:t>
            </w:r>
          </w:p>
        </w:tc>
        <w:tc>
          <w:tcPr>
            <w:tcW w:w="6546" w:type="dxa"/>
            <w:vAlign w:val="center"/>
          </w:tcPr>
          <w:p>
            <w:pPr>
              <w:tabs>
                <w:tab w:val="left" w:pos="459"/>
                <w:tab w:val="left" w:pos="601"/>
              </w:tabs>
              <w:snapToGrid w:val="0"/>
              <w:rPr>
                <w:rFonts w:cs="宋体" w:asciiTheme="minorEastAsia" w:hAnsiTheme="minorEastAsia" w:eastAsiaTheme="minorEastAsia"/>
                <w:color w:val="auto"/>
                <w:sz w:val="24"/>
                <w:highlight w:val="none"/>
                <w:lang w:val="zh-CN"/>
              </w:rPr>
            </w:pPr>
            <w:r>
              <w:rPr>
                <w:rFonts w:hint="eastAsia" w:cs="宋体" w:asciiTheme="minorEastAsia" w:hAnsiTheme="minorEastAsia" w:eastAsiaTheme="minorEastAsia"/>
                <w:color w:val="auto"/>
                <w:sz w:val="24"/>
                <w:highlight w:val="none"/>
                <w:lang w:val="zh-CN"/>
              </w:rPr>
              <w:t>不允许,每项报价或每种规格货物或每项服务只允许有一个报价，否则将被视为无效投标。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1314"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（十）</w:t>
            </w:r>
          </w:p>
        </w:tc>
        <w:tc>
          <w:tcPr>
            <w:tcW w:w="708" w:type="dxa"/>
            <w:vAlign w:val="center"/>
          </w:tcPr>
          <w:p>
            <w:pPr>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p>
        </w:tc>
        <w:tc>
          <w:tcPr>
            <w:tcW w:w="1418" w:type="dxa"/>
            <w:vAlign w:val="center"/>
          </w:tcPr>
          <w:p>
            <w:pPr>
              <w:jc w:val="center"/>
              <w:rPr>
                <w:rFonts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lang w:eastAsia="zh-TW"/>
              </w:rPr>
              <w:t>投标保证金</w:t>
            </w:r>
          </w:p>
        </w:tc>
        <w:tc>
          <w:tcPr>
            <w:tcW w:w="6546" w:type="dxa"/>
            <w:vAlign w:val="center"/>
          </w:tcPr>
          <w:p>
            <w:pPr>
              <w:pStyle w:val="24"/>
              <w:numPr>
                <w:ilvl w:val="0"/>
                <w:numId w:val="52"/>
              </w:numPr>
              <w:snapToGrid w:val="0"/>
              <w:ind w:left="666" w:hanging="666"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本项目不要求提交磋商保证金。磋商文件中关于磋商保证金的事项及有关条款不适用。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314"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（十一）</w:t>
            </w:r>
          </w:p>
        </w:tc>
        <w:tc>
          <w:tcPr>
            <w:tcW w:w="708" w:type="dxa"/>
            <w:vAlign w:val="center"/>
          </w:tcPr>
          <w:p>
            <w:pPr>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p>
        </w:tc>
        <w:tc>
          <w:tcPr>
            <w:tcW w:w="1418" w:type="dxa"/>
            <w:vAlign w:val="center"/>
          </w:tcPr>
          <w:p>
            <w:pPr>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投标有效期</w:t>
            </w:r>
          </w:p>
        </w:tc>
        <w:tc>
          <w:tcPr>
            <w:tcW w:w="6546" w:type="dxa"/>
            <w:vAlign w:val="center"/>
          </w:tcPr>
          <w:p>
            <w:pP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u w:val="single"/>
              </w:rPr>
              <w:t>90</w:t>
            </w:r>
            <w:r>
              <w:rPr>
                <w:rFonts w:hint="eastAsia" w:asciiTheme="minorEastAsia" w:hAnsiTheme="minorEastAsia" w:eastAsiaTheme="minorEastAsia"/>
                <w:color w:val="auto"/>
                <w:sz w:val="24"/>
                <w:highlight w:val="none"/>
              </w:rPr>
              <w:t>日历日。</w:t>
            </w:r>
            <w:r>
              <w:rPr>
                <w:rFonts w:hint="eastAsia" w:ascii="宋体" w:hAnsi="宋体" w:cs="宋体"/>
                <w:color w:val="auto"/>
                <w:sz w:val="24"/>
                <w:highlight w:val="none"/>
                <w:lang w:eastAsia="zh-TW"/>
              </w:rPr>
              <w:t>投标有效期不足的投标</w:t>
            </w:r>
            <w:r>
              <w:rPr>
                <w:rFonts w:hint="eastAsia" w:ascii="宋体" w:hAnsi="宋体" w:cs="宋体"/>
                <w:color w:val="auto"/>
                <w:sz w:val="24"/>
                <w:highlight w:val="none"/>
              </w:rPr>
              <w:t>，</w:t>
            </w:r>
            <w:r>
              <w:rPr>
                <w:rFonts w:hint="eastAsia" w:ascii="宋体" w:hAnsi="宋体" w:cs="宋体"/>
                <w:color w:val="auto"/>
                <w:sz w:val="24"/>
                <w:highlight w:val="none"/>
                <w:lang w:eastAsia="zh-TW"/>
              </w:rPr>
              <w:t>将被</w:t>
            </w:r>
            <w:r>
              <w:rPr>
                <w:rFonts w:hint="eastAsia" w:ascii="宋体" w:hAnsi="宋体" w:cs="宋体"/>
                <w:color w:val="auto"/>
                <w:sz w:val="24"/>
                <w:highlight w:val="none"/>
              </w:rPr>
              <w:t>视为</w:t>
            </w:r>
            <w:r>
              <w:rPr>
                <w:rFonts w:hint="eastAsia" w:ascii="宋体" w:hAnsi="宋体" w:cs="宋体"/>
                <w:b/>
                <w:color w:val="auto"/>
                <w:sz w:val="24"/>
                <w:highlight w:val="none"/>
              </w:rPr>
              <w:t>无效投标</w:t>
            </w:r>
            <w:r>
              <w:rPr>
                <w:rFonts w:hint="eastAsia" w:ascii="宋体" w:hAnsi="宋体" w:cs="宋体"/>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9986" w:type="dxa"/>
            <w:gridSpan w:val="4"/>
            <w:vAlign w:val="center"/>
          </w:tcPr>
          <w:p>
            <w:pPr>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五、开标、评标、定标与合同签订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1314" w:type="dxa"/>
            <w:vMerge w:val="restart"/>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（二）</w:t>
            </w:r>
          </w:p>
        </w:tc>
        <w:tc>
          <w:tcPr>
            <w:tcW w:w="708"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w:t>
            </w:r>
          </w:p>
        </w:tc>
        <w:tc>
          <w:tcPr>
            <w:tcW w:w="1418"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评标委员会成员人数</w:t>
            </w:r>
          </w:p>
        </w:tc>
        <w:tc>
          <w:tcPr>
            <w:tcW w:w="6546" w:type="dxa"/>
            <w:vAlign w:val="center"/>
          </w:tcPr>
          <w:p>
            <w:pPr>
              <w:spacing w:line="360" w:lineRule="auto"/>
              <w:jc w:val="left"/>
              <w:rPr>
                <w:rFonts w:asciiTheme="minorEastAsia" w:hAnsiTheme="minorEastAsia" w:eastAsiaTheme="minorEastAsia"/>
                <w:bCs/>
                <w:color w:val="auto"/>
                <w:sz w:val="24"/>
                <w:highlight w:val="none"/>
              </w:rPr>
            </w:pPr>
            <w:r>
              <w:rPr>
                <w:rFonts w:hint="eastAsia" w:asciiTheme="minorEastAsia" w:hAnsiTheme="minorEastAsia"/>
                <w:color w:val="auto"/>
                <w:sz w:val="24"/>
                <w:highlight w:val="none"/>
              </w:rPr>
              <w:t>☑</w:t>
            </w:r>
            <w:r>
              <w:rPr>
                <w:rFonts w:hint="eastAsia" w:asciiTheme="minorEastAsia" w:hAnsiTheme="minorEastAsia" w:eastAsiaTheme="minorEastAsia"/>
                <w:bCs/>
                <w:color w:val="auto"/>
                <w:sz w:val="24"/>
                <w:highlight w:val="none"/>
              </w:rPr>
              <w:t>5人</w:t>
            </w:r>
          </w:p>
          <w:p>
            <w:pPr>
              <w:spacing w:line="360" w:lineRule="auto"/>
              <w:jc w:val="left"/>
              <w:rPr>
                <w:rFonts w:asciiTheme="minorEastAsia" w:hAnsiTheme="minorEastAsia" w:eastAsiaTheme="minorEastAsia"/>
                <w:bCs/>
                <w:color w:val="auto"/>
                <w:sz w:val="24"/>
                <w:highlight w:val="none"/>
              </w:rPr>
            </w:pPr>
            <w:r>
              <w:rPr>
                <w:rFonts w:hint="eastAsia" w:asciiTheme="minorEastAsia" w:hAnsiTheme="minorEastAsia"/>
                <w:color w:val="auto"/>
                <w:sz w:val="24"/>
                <w:highlight w:val="none"/>
              </w:rPr>
              <w:t>□</w:t>
            </w:r>
            <w:r>
              <w:rPr>
                <w:rFonts w:asciiTheme="minorEastAsia" w:hAnsiTheme="minorEastAsia" w:eastAsiaTheme="minorEastAsia"/>
                <w:bCs/>
                <w:color w:val="auto"/>
                <w:sz w:val="24"/>
                <w:highlight w:val="none"/>
              </w:rPr>
              <w:t>7</w:t>
            </w:r>
            <w:r>
              <w:rPr>
                <w:rFonts w:hint="eastAsia" w:asciiTheme="minorEastAsia" w:hAnsiTheme="minorEastAsia" w:eastAsiaTheme="minorEastAsia"/>
                <w:bCs/>
                <w:color w:val="auto"/>
                <w:sz w:val="24"/>
                <w:highlight w:val="none"/>
              </w:rPr>
              <w:t>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314" w:type="dxa"/>
            <w:vMerge w:val="continue"/>
            <w:vAlign w:val="center"/>
          </w:tcPr>
          <w:p>
            <w:pPr>
              <w:jc w:val="center"/>
              <w:rPr>
                <w:rFonts w:asciiTheme="minorEastAsia" w:hAnsiTheme="minorEastAsia" w:eastAsiaTheme="minorEastAsia"/>
                <w:color w:val="auto"/>
                <w:sz w:val="24"/>
                <w:highlight w:val="none"/>
              </w:rPr>
            </w:pPr>
          </w:p>
        </w:tc>
        <w:tc>
          <w:tcPr>
            <w:tcW w:w="708"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w:t>
            </w:r>
          </w:p>
        </w:tc>
        <w:tc>
          <w:tcPr>
            <w:tcW w:w="1418"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bCs/>
                <w:color w:val="auto"/>
                <w:sz w:val="24"/>
                <w:highlight w:val="none"/>
              </w:rPr>
              <w:t>评标方法</w:t>
            </w:r>
          </w:p>
        </w:tc>
        <w:tc>
          <w:tcPr>
            <w:tcW w:w="6546" w:type="dxa"/>
            <w:vAlign w:val="center"/>
          </w:tcPr>
          <w:p>
            <w:pPr>
              <w:spacing w:line="360" w:lineRule="auto"/>
              <w:jc w:val="left"/>
              <w:rPr>
                <w:rFonts w:asciiTheme="minorEastAsia" w:hAnsiTheme="minorEastAsia" w:eastAsiaTheme="minorEastAsia"/>
                <w:bCs/>
                <w:color w:val="auto"/>
                <w:sz w:val="24"/>
                <w:highlight w:val="none"/>
                <w:u w:val="single"/>
              </w:rPr>
            </w:pPr>
            <w:r>
              <w:rPr>
                <w:rFonts w:hint="eastAsia" w:asciiTheme="minorEastAsia" w:hAnsiTheme="minorEastAsia" w:eastAsiaTheme="minorEastAsia"/>
                <w:bCs/>
                <w:color w:val="auto"/>
                <w:sz w:val="24"/>
                <w:highlight w:val="none"/>
              </w:rPr>
              <w:t>选取方法：</w:t>
            </w:r>
            <w:r>
              <w:rPr>
                <w:rFonts w:hint="eastAsia" w:asciiTheme="minorEastAsia" w:hAnsiTheme="minorEastAsia" w:eastAsiaTheme="minorEastAsia"/>
                <w:bCs/>
                <w:color w:val="auto"/>
                <w:sz w:val="24"/>
                <w:highlight w:val="none"/>
                <w:u w:val="single"/>
              </w:rPr>
              <w:t>方式一</w:t>
            </w:r>
          </w:p>
          <w:p>
            <w:pPr>
              <w:spacing w:line="360" w:lineRule="auto"/>
              <w:jc w:val="left"/>
              <w:rPr>
                <w:rFonts w:asciiTheme="minorEastAsia" w:hAnsiTheme="minorEastAsia" w:eastAsiaTheme="minorEastAsia"/>
                <w:bCs/>
                <w:color w:val="auto"/>
                <w:sz w:val="24"/>
                <w:highlight w:val="none"/>
              </w:rPr>
            </w:pPr>
            <w:r>
              <w:rPr>
                <w:rFonts w:hint="eastAsia" w:ascii="宋体" w:hAnsi="宋体" w:cs="宋体"/>
                <w:color w:val="auto"/>
                <w:sz w:val="24"/>
                <w:highlight w:val="none"/>
              </w:rPr>
              <w:t>方式一：</w:t>
            </w:r>
            <w:r>
              <w:rPr>
                <w:rFonts w:hint="eastAsia" w:asciiTheme="minorEastAsia" w:hAnsiTheme="minorEastAsia" w:eastAsiaTheme="minorEastAsia"/>
                <w:bCs/>
                <w:color w:val="auto"/>
                <w:sz w:val="24"/>
                <w:highlight w:val="none"/>
              </w:rPr>
              <w:t>采用综合评分法</w:t>
            </w:r>
          </w:p>
          <w:p>
            <w:pPr>
              <w:spacing w:line="360" w:lineRule="auto"/>
              <w:jc w:val="left"/>
              <w:rPr>
                <w:rFonts w:asciiTheme="minorEastAsia" w:hAnsiTheme="minorEastAsia" w:eastAsiaTheme="minorEastAsia"/>
                <w:bCs/>
                <w:color w:val="auto"/>
                <w:sz w:val="24"/>
                <w:highlight w:val="none"/>
              </w:rPr>
            </w:pPr>
            <w:r>
              <w:rPr>
                <w:rFonts w:hint="eastAsia" w:ascii="宋体" w:hAnsi="宋体" w:cs="宋体"/>
                <w:color w:val="auto"/>
                <w:sz w:val="24"/>
                <w:highlight w:val="none"/>
              </w:rPr>
              <w:t>方式二：</w:t>
            </w:r>
            <w:r>
              <w:rPr>
                <w:rFonts w:hint="eastAsia" w:asciiTheme="minorEastAsia" w:hAnsiTheme="minorEastAsia" w:eastAsiaTheme="minorEastAsia"/>
                <w:bCs/>
                <w:color w:val="auto"/>
                <w:sz w:val="24"/>
                <w:highlight w:val="none"/>
              </w:rPr>
              <w:t>最低评标价法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314"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（三）</w:t>
            </w:r>
          </w:p>
        </w:tc>
        <w:tc>
          <w:tcPr>
            <w:tcW w:w="708"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w:t>
            </w:r>
          </w:p>
        </w:tc>
        <w:tc>
          <w:tcPr>
            <w:tcW w:w="1418" w:type="dxa"/>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推荐中标候选人</w:t>
            </w:r>
          </w:p>
        </w:tc>
        <w:tc>
          <w:tcPr>
            <w:tcW w:w="6546" w:type="dxa"/>
            <w:vAlign w:val="center"/>
          </w:tcPr>
          <w:p>
            <w:pPr>
              <w:spacing w:line="360" w:lineRule="auto"/>
              <w:jc w:val="left"/>
              <w:rPr>
                <w:rFonts w:asciiTheme="minorEastAsia" w:hAnsiTheme="minorEastAsia" w:eastAsiaTheme="minorEastAsia"/>
                <w:bCs/>
                <w:color w:val="auto"/>
                <w:sz w:val="24"/>
                <w:highlight w:val="none"/>
                <w:u w:val="single"/>
              </w:rPr>
            </w:pPr>
            <w:r>
              <w:rPr>
                <w:rFonts w:hint="eastAsia" w:asciiTheme="minorEastAsia" w:hAnsiTheme="minorEastAsia" w:eastAsiaTheme="minorEastAsia"/>
                <w:bCs/>
                <w:color w:val="auto"/>
                <w:sz w:val="24"/>
                <w:highlight w:val="none"/>
              </w:rPr>
              <w:t>推荐方式：</w:t>
            </w:r>
            <w:r>
              <w:rPr>
                <w:rFonts w:hint="eastAsia" w:asciiTheme="minorEastAsia" w:hAnsiTheme="minorEastAsia" w:eastAsiaTheme="minorEastAsia"/>
                <w:bCs/>
                <w:color w:val="auto"/>
                <w:sz w:val="24"/>
                <w:highlight w:val="none"/>
                <w:u w:val="single"/>
              </w:rPr>
              <w:t>方式一</w:t>
            </w:r>
          </w:p>
          <w:p>
            <w:pPr>
              <w:jc w:val="left"/>
              <w:rPr>
                <w:rFonts w:asciiTheme="minorEastAsia" w:hAnsiTheme="minorEastAsia" w:eastAsiaTheme="minorEastAsia"/>
                <w:bCs/>
                <w:color w:val="auto"/>
                <w:sz w:val="24"/>
                <w:highlight w:val="none"/>
              </w:rPr>
            </w:pPr>
            <w:r>
              <w:rPr>
                <w:rFonts w:hint="eastAsia" w:ascii="宋体" w:hAnsi="宋体" w:cs="宋体"/>
                <w:color w:val="auto"/>
                <w:sz w:val="24"/>
                <w:highlight w:val="none"/>
              </w:rPr>
              <w:t>方式一：</w:t>
            </w:r>
            <w:r>
              <w:rPr>
                <w:rFonts w:hint="eastAsia" w:asciiTheme="minorEastAsia" w:hAnsiTheme="minorEastAsia" w:eastAsiaTheme="minorEastAsia"/>
                <w:bCs/>
                <w:color w:val="auto"/>
                <w:sz w:val="24"/>
                <w:highlight w:val="none"/>
              </w:rPr>
              <w:t>综合评分法：推荐综合得分排名第一的投标人为第一中标候选人，排名第二的投标人为第二中标候选人，排名第三的投标人为第三中标候选人。</w:t>
            </w:r>
          </w:p>
          <w:p>
            <w:pPr>
              <w:jc w:val="left"/>
              <w:rPr>
                <w:rFonts w:asciiTheme="minorEastAsia" w:hAnsiTheme="minorEastAsia" w:eastAsiaTheme="minorEastAsia"/>
                <w:bCs/>
                <w:color w:val="auto"/>
                <w:sz w:val="24"/>
                <w:highlight w:val="none"/>
              </w:rPr>
            </w:pPr>
            <w:r>
              <w:rPr>
                <w:rFonts w:hint="eastAsia" w:ascii="宋体" w:hAnsi="宋体" w:cs="宋体"/>
                <w:color w:val="auto"/>
                <w:sz w:val="24"/>
                <w:highlight w:val="none"/>
              </w:rPr>
              <w:t>方式二：</w:t>
            </w:r>
            <w:r>
              <w:rPr>
                <w:rFonts w:hint="eastAsia" w:asciiTheme="minorEastAsia" w:hAnsiTheme="minorEastAsia" w:eastAsiaTheme="minorEastAsia"/>
                <w:bCs/>
                <w:color w:val="auto"/>
                <w:sz w:val="24"/>
                <w:highlight w:val="none"/>
              </w:rPr>
              <w:t>最低评标价法：按照投标报价由低到高的顺序推荐3名中标候选人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314"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（四）</w:t>
            </w:r>
          </w:p>
        </w:tc>
        <w:tc>
          <w:tcPr>
            <w:tcW w:w="708"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p>
        </w:tc>
        <w:tc>
          <w:tcPr>
            <w:tcW w:w="1418" w:type="dxa"/>
            <w:vAlign w:val="center"/>
          </w:tcPr>
          <w:p>
            <w:pPr>
              <w:jc w:val="center"/>
              <w:rPr>
                <w:rFonts w:asciiTheme="minorEastAsia" w:hAnsiTheme="minorEastAsia" w:eastAsiaTheme="minorEastAsia"/>
                <w:bCs/>
                <w:color w:val="auto"/>
                <w:sz w:val="24"/>
                <w:highlight w:val="none"/>
              </w:rPr>
            </w:pPr>
            <w:r>
              <w:rPr>
                <w:rFonts w:hint="eastAsia"/>
                <w:color w:val="auto"/>
                <w:sz w:val="24"/>
                <w:highlight w:val="none"/>
              </w:rPr>
              <w:t>中标人的确定</w:t>
            </w:r>
          </w:p>
        </w:tc>
        <w:tc>
          <w:tcPr>
            <w:tcW w:w="6546" w:type="dxa"/>
            <w:vAlign w:val="center"/>
          </w:tcPr>
          <w:p>
            <w:pP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中标候选人并列的，由采购人采取下述方式</w:t>
            </w:r>
            <w:r>
              <w:rPr>
                <w:rFonts w:hint="eastAsia" w:asciiTheme="minorEastAsia" w:hAnsiTheme="minorEastAsia" w:eastAsiaTheme="minorEastAsia"/>
                <w:color w:val="auto"/>
                <w:sz w:val="24"/>
                <w:highlight w:val="none"/>
                <w:u w:val="single"/>
              </w:rPr>
              <w:t>一</w:t>
            </w:r>
            <w:r>
              <w:rPr>
                <w:rFonts w:hint="eastAsia" w:asciiTheme="minorEastAsia" w:hAnsiTheme="minorEastAsia" w:eastAsiaTheme="minorEastAsia"/>
                <w:color w:val="auto"/>
                <w:sz w:val="24"/>
                <w:highlight w:val="none"/>
              </w:rPr>
              <w:t>确定中标人。</w:t>
            </w:r>
          </w:p>
          <w:p>
            <w:pP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方式一：随机抽取；</w:t>
            </w:r>
          </w:p>
          <w:p>
            <w:pP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方式二：按技术部分得分高低顺序；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314"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（六）</w:t>
            </w:r>
          </w:p>
        </w:tc>
        <w:tc>
          <w:tcPr>
            <w:tcW w:w="708"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p>
        </w:tc>
        <w:tc>
          <w:tcPr>
            <w:tcW w:w="1418" w:type="dxa"/>
            <w:vAlign w:val="center"/>
          </w:tcPr>
          <w:p>
            <w:pPr>
              <w:jc w:val="center"/>
              <w:rPr>
                <w:color w:val="auto"/>
                <w:sz w:val="24"/>
                <w:highlight w:val="none"/>
              </w:rPr>
            </w:pPr>
            <w:r>
              <w:rPr>
                <w:rFonts w:hint="eastAsia" w:ascii="宋体" w:hAnsi="宋体" w:cs="宋体"/>
                <w:color w:val="auto"/>
                <w:sz w:val="24"/>
                <w:highlight w:val="none"/>
              </w:rPr>
              <w:t>采购代理服务费</w:t>
            </w:r>
          </w:p>
        </w:tc>
        <w:tc>
          <w:tcPr>
            <w:tcW w:w="6546" w:type="dxa"/>
          </w:tcPr>
          <w:p>
            <w:pPr>
              <w:pStyle w:val="24"/>
              <w:numPr>
                <w:ilvl w:val="0"/>
                <w:numId w:val="53"/>
              </w:numPr>
              <w:tabs>
                <w:tab w:val="left" w:pos="524"/>
                <w:tab w:val="left" w:pos="601"/>
              </w:tabs>
              <w:snapToGrid w:val="0"/>
              <w:ind w:left="99" w:hanging="99"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本次采购代理服务费向下述方式</w:t>
            </w:r>
            <w:r>
              <w:rPr>
                <w:rFonts w:hint="eastAsia" w:asciiTheme="minorEastAsia" w:hAnsiTheme="minorEastAsia" w:eastAsiaTheme="minorEastAsia"/>
                <w:color w:val="auto"/>
                <w:sz w:val="24"/>
                <w:highlight w:val="none"/>
                <w:u w:val="single"/>
              </w:rPr>
              <w:t>一</w:t>
            </w:r>
            <w:r>
              <w:rPr>
                <w:rFonts w:hint="eastAsia" w:asciiTheme="minorEastAsia" w:hAnsiTheme="minorEastAsia" w:eastAsiaTheme="minorEastAsia"/>
                <w:color w:val="auto"/>
                <w:sz w:val="24"/>
                <w:highlight w:val="none"/>
              </w:rPr>
              <w:t>收取；</w:t>
            </w:r>
          </w:p>
          <w:p>
            <w:pPr>
              <w:tabs>
                <w:tab w:val="left" w:pos="524"/>
                <w:tab w:val="left" w:pos="601"/>
              </w:tabs>
              <w:snapToGrid w:val="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方式一：中标人</w:t>
            </w:r>
          </w:p>
          <w:p>
            <w:pPr>
              <w:tabs>
                <w:tab w:val="left" w:pos="524"/>
                <w:tab w:val="left" w:pos="601"/>
              </w:tabs>
              <w:snapToGrid w:val="0"/>
              <w:rPr>
                <w:b/>
                <w:bCs/>
                <w:color w:val="auto"/>
                <w:sz w:val="24"/>
                <w:highlight w:val="none"/>
              </w:rPr>
            </w:pPr>
            <w:r>
              <w:rPr>
                <w:rFonts w:hint="eastAsia" w:asciiTheme="minorEastAsia" w:hAnsiTheme="minorEastAsia" w:eastAsiaTheme="minorEastAsia"/>
                <w:color w:val="auto"/>
                <w:sz w:val="24"/>
                <w:highlight w:val="none"/>
              </w:rPr>
              <w:t>方式二：采购人</w:t>
            </w:r>
          </w:p>
          <w:p>
            <w:pPr>
              <w:pStyle w:val="24"/>
              <w:numPr>
                <w:ilvl w:val="0"/>
                <w:numId w:val="53"/>
              </w:numPr>
              <w:tabs>
                <w:tab w:val="left" w:pos="524"/>
                <w:tab w:val="left" w:pos="601"/>
              </w:tabs>
              <w:snapToGrid w:val="0"/>
              <w:ind w:left="99" w:hanging="99"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各包组按下述第（3）点方式进行独立计算；</w:t>
            </w:r>
          </w:p>
          <w:p>
            <w:pPr>
              <w:jc w:val="left"/>
              <w:rPr>
                <w:b/>
                <w:bCs/>
                <w:color w:val="auto"/>
                <w:sz w:val="24"/>
                <w:highlight w:val="none"/>
              </w:rPr>
            </w:pPr>
            <w:r>
              <w:rPr>
                <w:rFonts w:hint="eastAsia" w:asciiTheme="minorEastAsia" w:hAnsiTheme="minorEastAsia" w:eastAsiaTheme="minorEastAsia"/>
                <w:color w:val="auto"/>
                <w:sz w:val="24"/>
                <w:highlight w:val="none"/>
              </w:rPr>
              <w:t>按照下述方式</w:t>
            </w:r>
            <w:r>
              <w:rPr>
                <w:rFonts w:hint="eastAsia" w:asciiTheme="minorEastAsia" w:hAnsiTheme="minorEastAsia" w:eastAsiaTheme="minorEastAsia"/>
                <w:color w:val="auto"/>
                <w:sz w:val="24"/>
                <w:highlight w:val="none"/>
                <w:u w:val="single"/>
              </w:rPr>
              <w:t>一</w:t>
            </w:r>
            <w:r>
              <w:rPr>
                <w:rFonts w:hint="eastAsia" w:asciiTheme="minorEastAsia" w:hAnsiTheme="minorEastAsia" w:eastAsiaTheme="minorEastAsia"/>
                <w:color w:val="auto"/>
                <w:sz w:val="24"/>
                <w:highlight w:val="none"/>
              </w:rPr>
              <w:t>向采购代理机构按如下标准和规定缴纳采购代理服务费；</w:t>
            </w:r>
          </w:p>
          <w:p>
            <w:pP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方式一：</w:t>
            </w:r>
            <w:r>
              <w:rPr>
                <w:rFonts w:hint="eastAsia" w:asciiTheme="minorEastAsia" w:hAnsiTheme="minorEastAsia"/>
                <w:color w:val="auto"/>
                <w:sz w:val="24"/>
                <w:highlight w:val="none"/>
              </w:rPr>
              <w:t>差额定率累进法收费：</w:t>
            </w:r>
            <w:r>
              <w:rPr>
                <w:rFonts w:asciiTheme="minorEastAsia" w:hAnsiTheme="minorEastAsia"/>
                <w:color w:val="auto"/>
                <w:sz w:val="24"/>
                <w:highlight w:val="none"/>
              </w:rPr>
              <w:t>以</w:t>
            </w:r>
            <w:r>
              <w:rPr>
                <w:rFonts w:hint="eastAsia" w:asciiTheme="minorEastAsia" w:hAnsiTheme="minorEastAsia" w:eastAsiaTheme="minorEastAsia"/>
                <w:color w:val="auto"/>
                <w:sz w:val="24"/>
                <w:highlight w:val="none"/>
                <w:u w:val="single"/>
              </w:rPr>
              <w:t>□</w:t>
            </w:r>
            <w:r>
              <w:rPr>
                <w:rFonts w:asciiTheme="minorEastAsia" w:hAnsiTheme="minorEastAsia"/>
                <w:bCs/>
                <w:color w:val="auto"/>
                <w:sz w:val="24"/>
                <w:highlight w:val="none"/>
                <w:u w:val="single"/>
              </w:rPr>
              <w:t>中标通知书中</w:t>
            </w:r>
            <w:r>
              <w:rPr>
                <w:rFonts w:hint="eastAsia" w:asciiTheme="minorEastAsia" w:hAnsiTheme="minorEastAsia"/>
                <w:bCs/>
                <w:color w:val="auto"/>
                <w:sz w:val="24"/>
                <w:highlight w:val="none"/>
                <w:u w:val="single"/>
              </w:rPr>
              <w:t>的中标金额</w:t>
            </w:r>
            <w:r>
              <w:rPr>
                <w:rFonts w:hint="eastAsia" w:asciiTheme="minorEastAsia" w:hAnsiTheme="minorEastAsia" w:eastAsiaTheme="minorEastAsia"/>
                <w:color w:val="auto"/>
                <w:sz w:val="24"/>
                <w:highlight w:val="none"/>
                <w:u w:val="single"/>
              </w:rPr>
              <w:t>☑</w:t>
            </w:r>
            <w:r>
              <w:rPr>
                <w:rFonts w:hint="eastAsia" w:asciiTheme="minorEastAsia" w:hAnsiTheme="minorEastAsia"/>
                <w:bCs/>
                <w:color w:val="auto"/>
                <w:sz w:val="24"/>
                <w:highlight w:val="none"/>
                <w:u w:val="single"/>
              </w:rPr>
              <w:t>采购预算</w:t>
            </w:r>
            <w:r>
              <w:rPr>
                <w:rFonts w:hint="eastAsia" w:asciiTheme="minorEastAsia" w:hAnsiTheme="minorEastAsia"/>
                <w:bCs/>
                <w:color w:val="auto"/>
                <w:sz w:val="24"/>
                <w:highlight w:val="none"/>
              </w:rPr>
              <w:t>作为采购代理服务费的计算基数</w:t>
            </w:r>
            <w:r>
              <w:rPr>
                <w:rFonts w:hint="eastAsia" w:asciiTheme="minorEastAsia" w:hAnsiTheme="minorEastAsia"/>
                <w:color w:val="auto"/>
                <w:sz w:val="24"/>
                <w:highlight w:val="none"/>
              </w:rPr>
              <w:t>。参照中华人民共和国国家发展计划委员会颁发的计价格〔2002〕1980号、发改办价格〔</w:t>
            </w:r>
            <w:r>
              <w:rPr>
                <w:rFonts w:asciiTheme="minorEastAsia" w:hAnsiTheme="minorEastAsia"/>
                <w:color w:val="auto"/>
                <w:sz w:val="24"/>
                <w:highlight w:val="none"/>
              </w:rPr>
              <w:t>2003</w:t>
            </w:r>
            <w:r>
              <w:rPr>
                <w:rFonts w:hint="eastAsia" w:asciiTheme="minorEastAsia" w:hAnsiTheme="minorEastAsia"/>
                <w:color w:val="auto"/>
                <w:sz w:val="24"/>
                <w:highlight w:val="none"/>
              </w:rPr>
              <w:t>〕</w:t>
            </w:r>
            <w:r>
              <w:rPr>
                <w:rFonts w:asciiTheme="minorEastAsia" w:hAnsiTheme="minorEastAsia"/>
                <w:color w:val="auto"/>
                <w:sz w:val="24"/>
                <w:highlight w:val="none"/>
              </w:rPr>
              <w:t>857号</w:t>
            </w:r>
            <w:r>
              <w:rPr>
                <w:rFonts w:hint="eastAsia" w:asciiTheme="minorEastAsia" w:hAnsiTheme="minorEastAsia"/>
                <w:color w:val="auto"/>
                <w:sz w:val="24"/>
                <w:highlight w:val="none"/>
              </w:rPr>
              <w:t>及发改价格〔2011〕534号文规定的“</w:t>
            </w:r>
            <w:r>
              <w:rPr>
                <w:rFonts w:hint="eastAsia" w:asciiTheme="minorEastAsia" w:hAnsiTheme="minorEastAsia"/>
                <w:color w:val="auto"/>
                <w:sz w:val="24"/>
                <w:highlight w:val="none"/>
                <w:u w:val="single"/>
              </w:rPr>
              <w:t>□货物类☑服务类”</w:t>
            </w:r>
            <w:r>
              <w:rPr>
                <w:rFonts w:hint="eastAsia" w:asciiTheme="minorEastAsia" w:hAnsiTheme="minorEastAsia"/>
                <w:color w:val="auto"/>
                <w:sz w:val="24"/>
                <w:highlight w:val="none"/>
              </w:rPr>
              <w:t>计费标准计算并缴纳，采购代理服务费不足</w:t>
            </w:r>
            <w:r>
              <w:rPr>
                <w:rFonts w:hint="eastAsia" w:asciiTheme="minorEastAsia" w:hAnsiTheme="minorEastAsia"/>
                <w:color w:val="auto"/>
                <w:sz w:val="24"/>
                <w:highlight w:val="none"/>
                <w:u w:val="single"/>
              </w:rPr>
              <w:t>7500</w:t>
            </w:r>
            <w:r>
              <w:rPr>
                <w:rFonts w:hint="eastAsia" w:asciiTheme="minorEastAsia" w:hAnsiTheme="minorEastAsia"/>
                <w:color w:val="auto"/>
                <w:sz w:val="24"/>
                <w:highlight w:val="none"/>
              </w:rPr>
              <w:t>元的按</w:t>
            </w:r>
            <w:r>
              <w:rPr>
                <w:rFonts w:hint="eastAsia" w:asciiTheme="minorEastAsia" w:hAnsiTheme="minorEastAsia"/>
                <w:color w:val="auto"/>
                <w:sz w:val="24"/>
                <w:highlight w:val="none"/>
                <w:u w:val="single"/>
              </w:rPr>
              <w:t>7500</w:t>
            </w:r>
            <w:r>
              <w:rPr>
                <w:rFonts w:hint="eastAsia" w:asciiTheme="minorEastAsia" w:hAnsiTheme="minorEastAsia"/>
                <w:color w:val="auto"/>
                <w:sz w:val="24"/>
                <w:highlight w:val="none"/>
              </w:rPr>
              <w:t>元收取</w:t>
            </w:r>
            <w:r>
              <w:rPr>
                <w:rFonts w:hint="eastAsia" w:asciiTheme="minorEastAsia" w:hAnsiTheme="minorEastAsia" w:eastAsiaTheme="minorEastAsia"/>
                <w:bCs/>
                <w:color w:val="auto"/>
                <w:sz w:val="24"/>
                <w:highlight w:val="none"/>
              </w:rPr>
              <w:t>。</w:t>
            </w:r>
          </w:p>
          <w:tbl>
            <w:tblPr>
              <w:tblStyle w:val="16"/>
              <w:tblW w:w="549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438"/>
              <w:gridCol w:w="1485"/>
              <w:gridCol w:w="15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jc w:val="center"/>
              </w:trPr>
              <w:tc>
                <w:tcPr>
                  <w:tcW w:w="2438" w:type="dxa"/>
                </w:tcPr>
                <w:p>
                  <w:pPr>
                    <w:snapToGrid w:val="0"/>
                    <w:ind w:firstLine="1320" w:firstLineChars="550"/>
                    <w:rPr>
                      <w:rFonts w:ascii="宋体" w:hAnsi="宋体" w:cs="宋体"/>
                      <w:color w:val="auto"/>
                      <w:sz w:val="24"/>
                      <w:highlight w:val="none"/>
                    </w:rPr>
                  </w:pPr>
                  <w:r>
                    <w:rPr>
                      <w:rFonts w:ascii="宋体" w:hAnsi="宋体" w:cs="宋体"/>
                      <w:color w:val="auto"/>
                      <w:sz w:val="24"/>
                      <w:highlight w:val="none"/>
                    </w:rPr>
                    <mc:AlternateContent>
                      <mc:Choice Requires="wps">
                        <w:drawing>
                          <wp:anchor distT="0" distB="0" distL="114300" distR="114300" simplePos="0" relativeHeight="251669504" behindDoc="0" locked="0" layoutInCell="1" allowOverlap="1">
                            <wp:simplePos x="0" y="0"/>
                            <wp:positionH relativeFrom="column">
                              <wp:posOffset>-34925</wp:posOffset>
                            </wp:positionH>
                            <wp:positionV relativeFrom="paragraph">
                              <wp:posOffset>32385</wp:posOffset>
                            </wp:positionV>
                            <wp:extent cx="1345565" cy="379730"/>
                            <wp:effectExtent l="1270" t="4445" r="5715" b="15875"/>
                            <wp:wrapNone/>
                            <wp:docPr id="4"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1345721" cy="379562"/>
                                    </a:xfrm>
                                    <a:prstGeom prst="line">
                                      <a:avLst/>
                                    </a:prstGeom>
                                    <a:noFill/>
                                    <a:ln w="9525">
                                      <a:solidFill>
                                        <a:srgbClr val="000000"/>
                                      </a:solidFill>
                                      <a:round/>
                                    </a:ln>
                                    <a:effectLst/>
                                  </wps:spPr>
                                  <wps:bodyPr/>
                                </wps:wsp>
                              </a:graphicData>
                            </a:graphic>
                          </wp:anchor>
                        </w:drawing>
                      </mc:Choice>
                      <mc:Fallback>
                        <w:pict>
                          <v:line id="直接连接符 2" o:spid="_x0000_s1026" o:spt="20" style="position:absolute;left:0pt;margin-left:-2.75pt;margin-top:2.55pt;height:29.9pt;width:105.95pt;z-index:251669504;mso-width-relative:page;mso-height-relative:page;" filled="f" stroked="t" coordsize="21600,21600" o:gfxdata="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1G3KVdYAAAAHAQAADwAAAAAAAAABACAA&#10;AAAiAAAAZHJzL2Rvd25yZXYueG1sUEsBAhQAFAAAAAgAh07iQNC+GjPWAQAAbwMAAA4AAAAAAAAA&#10;AQAgAAAAJQEAAGRycy9lMm9Eb2MueG1sUEsFBgAAAAAGAAYAWQEAAG0FAAAAAA==&#10;">
                            <v:fill on="f" focussize="0,0"/>
                            <v:stroke color="#000000" joinstyle="round"/>
                            <v:imagedata o:title=""/>
                            <o:lock v:ext="edit" aspectratio="f"/>
                          </v:line>
                        </w:pict>
                      </mc:Fallback>
                    </mc:AlternateContent>
                  </w:r>
                  <w:r>
                    <w:rPr>
                      <w:rFonts w:hint="eastAsia" w:ascii="宋体" w:hAnsi="宋体"/>
                      <w:bCs/>
                      <w:color w:val="auto"/>
                      <w:sz w:val="24"/>
                      <w:highlight w:val="none"/>
                    </w:rPr>
                    <w:t>费率</w:t>
                  </w:r>
                </w:p>
                <w:p>
                  <w:pPr>
                    <w:snapToGrid w:val="0"/>
                    <w:rPr>
                      <w:rFonts w:ascii="宋体" w:hAnsi="宋体" w:cs="宋体"/>
                      <w:color w:val="auto"/>
                      <w:sz w:val="24"/>
                      <w:highlight w:val="none"/>
                    </w:rPr>
                  </w:pPr>
                  <w:r>
                    <w:rPr>
                      <w:rFonts w:hint="eastAsia" w:ascii="宋体" w:hAnsi="宋体"/>
                      <w:bCs/>
                      <w:color w:val="auto"/>
                      <w:sz w:val="24"/>
                      <w:highlight w:val="none"/>
                    </w:rPr>
                    <w:t>中标金额</w:t>
                  </w:r>
                </w:p>
              </w:tc>
              <w:tc>
                <w:tcPr>
                  <w:tcW w:w="1485" w:type="dxa"/>
                  <w:vAlign w:val="center"/>
                </w:tcPr>
                <w:p>
                  <w:pPr>
                    <w:snapToGrid w:val="0"/>
                    <w:jc w:val="center"/>
                    <w:rPr>
                      <w:rFonts w:ascii="宋体" w:hAnsi="宋体" w:cs="宋体"/>
                      <w:color w:val="auto"/>
                      <w:sz w:val="24"/>
                      <w:highlight w:val="none"/>
                    </w:rPr>
                  </w:pPr>
                  <w:r>
                    <w:rPr>
                      <w:rFonts w:hint="eastAsia" w:ascii="宋体" w:hAnsi="宋体"/>
                      <w:bCs/>
                      <w:color w:val="auto"/>
                      <w:sz w:val="24"/>
                      <w:highlight w:val="none"/>
                    </w:rPr>
                    <w:t>货物招标</w:t>
                  </w:r>
                </w:p>
              </w:tc>
              <w:tc>
                <w:tcPr>
                  <w:tcW w:w="1573" w:type="dxa"/>
                  <w:vAlign w:val="center"/>
                </w:tcPr>
                <w:p>
                  <w:pPr>
                    <w:snapToGrid w:val="0"/>
                    <w:jc w:val="center"/>
                    <w:rPr>
                      <w:rFonts w:ascii="宋体" w:hAnsi="宋体" w:cs="宋体"/>
                      <w:color w:val="auto"/>
                      <w:sz w:val="24"/>
                      <w:highlight w:val="none"/>
                    </w:rPr>
                  </w:pPr>
                  <w:r>
                    <w:rPr>
                      <w:rFonts w:hint="eastAsia" w:ascii="宋体" w:hAnsi="宋体"/>
                      <w:bCs/>
                      <w:color w:val="auto"/>
                      <w:sz w:val="24"/>
                      <w:highlight w:val="none"/>
                    </w:rPr>
                    <w:t>服务招标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438" w:type="dxa"/>
                  <w:vAlign w:val="center"/>
                </w:tcPr>
                <w:p>
                  <w:pPr>
                    <w:jc w:val="center"/>
                    <w:rPr>
                      <w:rFonts w:ascii="宋体" w:hAnsi="宋体"/>
                      <w:bCs/>
                      <w:color w:val="auto"/>
                      <w:sz w:val="24"/>
                      <w:highlight w:val="none"/>
                    </w:rPr>
                  </w:pPr>
                  <w:r>
                    <w:rPr>
                      <w:rFonts w:hint="eastAsia" w:ascii="宋体" w:hAnsi="宋体"/>
                      <w:color w:val="auto"/>
                      <w:sz w:val="24"/>
                      <w:highlight w:val="none"/>
                    </w:rPr>
                    <w:t>100万元以下</w:t>
                  </w:r>
                </w:p>
              </w:tc>
              <w:tc>
                <w:tcPr>
                  <w:tcW w:w="1485" w:type="dxa"/>
                  <w:vAlign w:val="center"/>
                </w:tcPr>
                <w:p>
                  <w:pPr>
                    <w:jc w:val="center"/>
                    <w:rPr>
                      <w:rFonts w:ascii="宋体" w:hAnsi="宋体"/>
                      <w:color w:val="auto"/>
                      <w:sz w:val="24"/>
                      <w:highlight w:val="none"/>
                    </w:rPr>
                  </w:pPr>
                  <w:r>
                    <w:rPr>
                      <w:rFonts w:ascii="宋体" w:hAnsi="宋体"/>
                      <w:color w:val="auto"/>
                      <w:sz w:val="24"/>
                      <w:highlight w:val="none"/>
                    </w:rPr>
                    <w:t>1.5%</w:t>
                  </w:r>
                </w:p>
              </w:tc>
              <w:tc>
                <w:tcPr>
                  <w:tcW w:w="1573" w:type="dxa"/>
                  <w:vAlign w:val="center"/>
                </w:tcPr>
                <w:p>
                  <w:pPr>
                    <w:ind w:firstLine="240" w:firstLineChars="100"/>
                    <w:jc w:val="center"/>
                    <w:rPr>
                      <w:rFonts w:ascii="宋体" w:hAnsi="宋体"/>
                      <w:color w:val="auto"/>
                      <w:sz w:val="24"/>
                      <w:highlight w:val="none"/>
                    </w:rPr>
                  </w:pPr>
                  <w:r>
                    <w:rPr>
                      <w:rFonts w:hint="eastAsia" w:ascii="宋体" w:hAnsi="宋体" w:cs="宋体"/>
                      <w:color w:val="auto"/>
                      <w:sz w:val="24"/>
                      <w:highlight w:val="none"/>
                    </w:rPr>
                    <w:t>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438" w:type="dxa"/>
                  <w:vAlign w:val="center"/>
                </w:tcPr>
                <w:p>
                  <w:pPr>
                    <w:jc w:val="center"/>
                    <w:rPr>
                      <w:rFonts w:ascii="宋体" w:hAnsi="宋体"/>
                      <w:color w:val="auto"/>
                      <w:sz w:val="24"/>
                      <w:highlight w:val="none"/>
                    </w:rPr>
                  </w:pPr>
                  <w:r>
                    <w:rPr>
                      <w:rFonts w:hint="eastAsia" w:ascii="宋体" w:hAnsi="宋体"/>
                      <w:color w:val="auto"/>
                      <w:sz w:val="24"/>
                      <w:highlight w:val="none"/>
                    </w:rPr>
                    <w:t>100～500万元</w:t>
                  </w:r>
                </w:p>
              </w:tc>
              <w:tc>
                <w:tcPr>
                  <w:tcW w:w="1485" w:type="dxa"/>
                  <w:vAlign w:val="center"/>
                </w:tcPr>
                <w:p>
                  <w:pPr>
                    <w:jc w:val="center"/>
                    <w:rPr>
                      <w:rFonts w:ascii="宋体" w:hAnsi="宋体"/>
                      <w:color w:val="auto"/>
                      <w:sz w:val="24"/>
                      <w:highlight w:val="none"/>
                    </w:rPr>
                  </w:pPr>
                  <w:r>
                    <w:rPr>
                      <w:rFonts w:ascii="宋体" w:hAnsi="宋体"/>
                      <w:color w:val="auto"/>
                      <w:sz w:val="24"/>
                      <w:highlight w:val="none"/>
                    </w:rPr>
                    <w:t>1.1%</w:t>
                  </w:r>
                </w:p>
              </w:tc>
              <w:tc>
                <w:tcPr>
                  <w:tcW w:w="1573" w:type="dxa"/>
                  <w:vAlign w:val="center"/>
                </w:tcPr>
                <w:p>
                  <w:pPr>
                    <w:ind w:firstLine="240" w:firstLineChars="100"/>
                    <w:jc w:val="center"/>
                    <w:rPr>
                      <w:rFonts w:ascii="宋体" w:hAnsi="宋体"/>
                      <w:color w:val="auto"/>
                      <w:sz w:val="24"/>
                      <w:highlight w:val="none"/>
                    </w:rPr>
                  </w:pPr>
                  <w:r>
                    <w:rPr>
                      <w:rFonts w:hint="eastAsia" w:ascii="宋体" w:hAnsi="宋体" w:cs="宋体"/>
                      <w:color w:val="auto"/>
                      <w:sz w:val="24"/>
                      <w:highlight w:val="none"/>
                    </w:rPr>
                    <w:t>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438" w:type="dxa"/>
                  <w:vAlign w:val="center"/>
                </w:tcPr>
                <w:p>
                  <w:pPr>
                    <w:jc w:val="center"/>
                    <w:rPr>
                      <w:rFonts w:ascii="宋体" w:hAnsi="宋体"/>
                      <w:color w:val="auto"/>
                      <w:sz w:val="24"/>
                      <w:highlight w:val="none"/>
                    </w:rPr>
                  </w:pPr>
                  <w:r>
                    <w:rPr>
                      <w:rFonts w:hint="eastAsia" w:ascii="宋体" w:hAnsi="宋体"/>
                      <w:color w:val="auto"/>
                      <w:sz w:val="24"/>
                      <w:highlight w:val="none"/>
                    </w:rPr>
                    <w:t>500～1000万元</w:t>
                  </w:r>
                </w:p>
              </w:tc>
              <w:tc>
                <w:tcPr>
                  <w:tcW w:w="1485" w:type="dxa"/>
                  <w:vAlign w:val="center"/>
                </w:tcPr>
                <w:p>
                  <w:pPr>
                    <w:jc w:val="center"/>
                    <w:rPr>
                      <w:rFonts w:ascii="宋体" w:hAnsi="宋体"/>
                      <w:color w:val="auto"/>
                      <w:sz w:val="24"/>
                      <w:highlight w:val="none"/>
                    </w:rPr>
                  </w:pPr>
                  <w:r>
                    <w:rPr>
                      <w:rFonts w:ascii="宋体" w:hAnsi="宋体"/>
                      <w:color w:val="auto"/>
                      <w:sz w:val="24"/>
                      <w:highlight w:val="none"/>
                    </w:rPr>
                    <w:t>0.8%</w:t>
                  </w:r>
                </w:p>
              </w:tc>
              <w:tc>
                <w:tcPr>
                  <w:tcW w:w="1573" w:type="dxa"/>
                  <w:vAlign w:val="center"/>
                </w:tcPr>
                <w:p>
                  <w:pPr>
                    <w:ind w:firstLine="240" w:firstLineChars="100"/>
                    <w:jc w:val="center"/>
                    <w:rPr>
                      <w:rFonts w:ascii="宋体" w:hAnsi="宋体"/>
                      <w:color w:val="auto"/>
                      <w:sz w:val="24"/>
                      <w:highlight w:val="none"/>
                    </w:rPr>
                  </w:pPr>
                  <w:r>
                    <w:rPr>
                      <w:rFonts w:hint="eastAsia" w:ascii="宋体" w:hAnsi="宋体" w:cs="宋体"/>
                      <w:color w:val="auto"/>
                      <w:sz w:val="24"/>
                      <w:highlight w:val="none"/>
                    </w:rPr>
                    <w:t>0.45%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438" w:type="dxa"/>
                  <w:vAlign w:val="center"/>
                </w:tcPr>
                <w:p>
                  <w:pPr>
                    <w:jc w:val="center"/>
                    <w:rPr>
                      <w:rFonts w:ascii="宋体" w:hAnsi="宋体"/>
                      <w:color w:val="auto"/>
                      <w:sz w:val="24"/>
                      <w:highlight w:val="none"/>
                    </w:rPr>
                  </w:pPr>
                  <w:r>
                    <w:rPr>
                      <w:rFonts w:hint="eastAsia" w:ascii="宋体" w:hAnsi="宋体"/>
                      <w:color w:val="auto"/>
                      <w:sz w:val="24"/>
                      <w:highlight w:val="none"/>
                    </w:rPr>
                    <w:t>1000～5000万元</w:t>
                  </w:r>
                </w:p>
              </w:tc>
              <w:tc>
                <w:tcPr>
                  <w:tcW w:w="1485" w:type="dxa"/>
                  <w:vAlign w:val="center"/>
                </w:tcPr>
                <w:p>
                  <w:pPr>
                    <w:jc w:val="center"/>
                    <w:rPr>
                      <w:rFonts w:ascii="宋体" w:hAnsi="宋体"/>
                      <w:color w:val="auto"/>
                      <w:sz w:val="24"/>
                      <w:highlight w:val="none"/>
                    </w:rPr>
                  </w:pPr>
                  <w:r>
                    <w:rPr>
                      <w:rFonts w:ascii="宋体" w:hAnsi="宋体"/>
                      <w:color w:val="auto"/>
                      <w:sz w:val="24"/>
                      <w:highlight w:val="none"/>
                    </w:rPr>
                    <w:t>0.5%</w:t>
                  </w:r>
                </w:p>
              </w:tc>
              <w:tc>
                <w:tcPr>
                  <w:tcW w:w="1573" w:type="dxa"/>
                  <w:vAlign w:val="center"/>
                </w:tcPr>
                <w:p>
                  <w:pPr>
                    <w:ind w:firstLine="240" w:firstLineChars="100"/>
                    <w:jc w:val="center"/>
                    <w:rPr>
                      <w:rFonts w:ascii="宋体" w:hAnsi="宋体"/>
                      <w:color w:val="auto"/>
                      <w:sz w:val="24"/>
                      <w:highlight w:val="none"/>
                    </w:rPr>
                  </w:pPr>
                  <w:r>
                    <w:rPr>
                      <w:rFonts w:hint="eastAsia" w:ascii="宋体" w:hAnsi="宋体" w:cs="宋体"/>
                      <w:color w:val="auto"/>
                      <w:sz w:val="24"/>
                      <w:highlight w:val="none"/>
                    </w:rPr>
                    <w:t>0.25%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9" w:hRule="atLeast"/>
                <w:jc w:val="center"/>
              </w:trPr>
              <w:tc>
                <w:tcPr>
                  <w:tcW w:w="2438" w:type="dxa"/>
                  <w:vAlign w:val="center"/>
                </w:tcPr>
                <w:p>
                  <w:pPr>
                    <w:jc w:val="center"/>
                    <w:rPr>
                      <w:rFonts w:ascii="宋体" w:hAnsi="宋体"/>
                      <w:color w:val="auto"/>
                      <w:sz w:val="24"/>
                      <w:highlight w:val="none"/>
                    </w:rPr>
                  </w:pPr>
                  <w:r>
                    <w:rPr>
                      <w:rFonts w:hint="eastAsia" w:ascii="宋体" w:hAnsi="宋体"/>
                      <w:color w:val="auto"/>
                      <w:sz w:val="24"/>
                      <w:highlight w:val="none"/>
                    </w:rPr>
                    <w:t>5000万元～1亿元</w:t>
                  </w:r>
                </w:p>
              </w:tc>
              <w:tc>
                <w:tcPr>
                  <w:tcW w:w="1485" w:type="dxa"/>
                  <w:vAlign w:val="center"/>
                </w:tcPr>
                <w:p>
                  <w:pPr>
                    <w:jc w:val="center"/>
                    <w:rPr>
                      <w:rFonts w:ascii="宋体" w:hAnsi="宋体"/>
                      <w:color w:val="auto"/>
                      <w:sz w:val="24"/>
                      <w:highlight w:val="none"/>
                    </w:rPr>
                  </w:pPr>
                  <w:r>
                    <w:rPr>
                      <w:rFonts w:ascii="宋体" w:hAnsi="宋体"/>
                      <w:color w:val="auto"/>
                      <w:sz w:val="24"/>
                      <w:highlight w:val="none"/>
                    </w:rPr>
                    <w:t>0.25%</w:t>
                  </w:r>
                </w:p>
              </w:tc>
              <w:tc>
                <w:tcPr>
                  <w:tcW w:w="1573" w:type="dxa"/>
                  <w:vAlign w:val="center"/>
                </w:tcPr>
                <w:p>
                  <w:pPr>
                    <w:ind w:firstLine="240" w:firstLineChars="100"/>
                    <w:jc w:val="center"/>
                    <w:rPr>
                      <w:rFonts w:ascii="宋体" w:hAnsi="宋体"/>
                      <w:color w:val="auto"/>
                      <w:sz w:val="24"/>
                      <w:highlight w:val="none"/>
                    </w:rPr>
                  </w:pPr>
                  <w:r>
                    <w:rPr>
                      <w:rFonts w:hint="eastAsia" w:ascii="宋体" w:hAnsi="宋体" w:cs="宋体"/>
                      <w:color w:val="auto"/>
                      <w:sz w:val="24"/>
                      <w:highlight w:val="none"/>
                    </w:rPr>
                    <w:t>0.1%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438" w:type="dxa"/>
                  <w:vAlign w:val="center"/>
                </w:tcPr>
                <w:p>
                  <w:pPr>
                    <w:jc w:val="center"/>
                    <w:rPr>
                      <w:rFonts w:ascii="宋体" w:hAnsi="宋体"/>
                      <w:color w:val="auto"/>
                      <w:sz w:val="24"/>
                      <w:highlight w:val="none"/>
                    </w:rPr>
                  </w:pPr>
                  <w:r>
                    <w:rPr>
                      <w:rFonts w:hint="eastAsia" w:ascii="宋体" w:hAnsi="宋体"/>
                      <w:color w:val="auto"/>
                      <w:sz w:val="24"/>
                      <w:highlight w:val="none"/>
                    </w:rPr>
                    <w:t>1～5亿元</w:t>
                  </w:r>
                </w:p>
              </w:tc>
              <w:tc>
                <w:tcPr>
                  <w:tcW w:w="1485" w:type="dxa"/>
                  <w:vAlign w:val="center"/>
                </w:tcPr>
                <w:p>
                  <w:pPr>
                    <w:jc w:val="center"/>
                    <w:rPr>
                      <w:rFonts w:ascii="宋体" w:hAnsi="宋体"/>
                      <w:color w:val="auto"/>
                      <w:sz w:val="24"/>
                      <w:highlight w:val="none"/>
                    </w:rPr>
                  </w:pPr>
                  <w:r>
                    <w:rPr>
                      <w:rFonts w:hint="eastAsia" w:ascii="宋体" w:hAnsi="宋体"/>
                      <w:color w:val="auto"/>
                      <w:sz w:val="24"/>
                      <w:highlight w:val="none"/>
                    </w:rPr>
                    <w:t>0.05%</w:t>
                  </w:r>
                </w:p>
              </w:tc>
              <w:tc>
                <w:tcPr>
                  <w:tcW w:w="1573" w:type="dxa"/>
                  <w:vAlign w:val="center"/>
                </w:tcPr>
                <w:p>
                  <w:pPr>
                    <w:jc w:val="center"/>
                    <w:rPr>
                      <w:rFonts w:ascii="宋体" w:hAnsi="宋体"/>
                      <w:color w:val="auto"/>
                      <w:sz w:val="24"/>
                      <w:highlight w:val="none"/>
                    </w:rPr>
                  </w:pPr>
                  <w:r>
                    <w:rPr>
                      <w:rFonts w:hint="eastAsia" w:ascii="宋体" w:hAnsi="宋体"/>
                      <w:color w:val="auto"/>
                      <w:sz w:val="24"/>
                      <w:highlight w:val="none"/>
                    </w:rPr>
                    <w:t>0.05%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438" w:type="dxa"/>
                  <w:vAlign w:val="center"/>
                </w:tcPr>
                <w:p>
                  <w:pPr>
                    <w:jc w:val="center"/>
                    <w:rPr>
                      <w:rFonts w:ascii="宋体" w:hAnsi="宋体"/>
                      <w:color w:val="auto"/>
                      <w:sz w:val="24"/>
                      <w:highlight w:val="none"/>
                    </w:rPr>
                  </w:pPr>
                  <w:r>
                    <w:rPr>
                      <w:rFonts w:hint="eastAsia" w:ascii="宋体" w:hAnsi="宋体"/>
                      <w:color w:val="auto"/>
                      <w:sz w:val="24"/>
                      <w:highlight w:val="none"/>
                    </w:rPr>
                    <w:t>5～10亿元</w:t>
                  </w:r>
                </w:p>
              </w:tc>
              <w:tc>
                <w:tcPr>
                  <w:tcW w:w="1485" w:type="dxa"/>
                  <w:vAlign w:val="center"/>
                </w:tcPr>
                <w:p>
                  <w:pPr>
                    <w:jc w:val="center"/>
                    <w:rPr>
                      <w:rFonts w:ascii="宋体" w:hAnsi="宋体"/>
                      <w:color w:val="auto"/>
                      <w:sz w:val="24"/>
                      <w:highlight w:val="none"/>
                    </w:rPr>
                  </w:pPr>
                  <w:r>
                    <w:rPr>
                      <w:rFonts w:hint="eastAsia" w:ascii="宋体" w:hAnsi="宋体"/>
                      <w:color w:val="auto"/>
                      <w:sz w:val="24"/>
                      <w:highlight w:val="none"/>
                    </w:rPr>
                    <w:t>0.035%</w:t>
                  </w:r>
                </w:p>
              </w:tc>
              <w:tc>
                <w:tcPr>
                  <w:tcW w:w="1573" w:type="dxa"/>
                  <w:vAlign w:val="center"/>
                </w:tcPr>
                <w:p>
                  <w:pPr>
                    <w:jc w:val="center"/>
                    <w:rPr>
                      <w:rFonts w:ascii="宋体" w:hAnsi="宋体"/>
                      <w:color w:val="auto"/>
                      <w:sz w:val="24"/>
                      <w:highlight w:val="none"/>
                    </w:rPr>
                  </w:pPr>
                  <w:r>
                    <w:rPr>
                      <w:rFonts w:hint="eastAsia" w:ascii="宋体" w:hAnsi="宋体"/>
                      <w:color w:val="auto"/>
                      <w:sz w:val="24"/>
                      <w:highlight w:val="none"/>
                    </w:rPr>
                    <w:t>0.035%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438" w:type="dxa"/>
                  <w:vAlign w:val="center"/>
                </w:tcPr>
                <w:p>
                  <w:pPr>
                    <w:jc w:val="center"/>
                    <w:rPr>
                      <w:rFonts w:ascii="宋体" w:hAnsi="宋体"/>
                      <w:color w:val="auto"/>
                      <w:sz w:val="24"/>
                      <w:highlight w:val="none"/>
                    </w:rPr>
                  </w:pPr>
                  <w:r>
                    <w:rPr>
                      <w:rFonts w:hint="eastAsia" w:ascii="宋体" w:hAnsi="宋体"/>
                      <w:color w:val="auto"/>
                      <w:sz w:val="24"/>
                      <w:highlight w:val="none"/>
                    </w:rPr>
                    <w:t>10～50亿元</w:t>
                  </w:r>
                </w:p>
              </w:tc>
              <w:tc>
                <w:tcPr>
                  <w:tcW w:w="1485" w:type="dxa"/>
                  <w:vAlign w:val="center"/>
                </w:tcPr>
                <w:p>
                  <w:pPr>
                    <w:jc w:val="center"/>
                    <w:rPr>
                      <w:rFonts w:ascii="宋体" w:hAnsi="宋体"/>
                      <w:color w:val="auto"/>
                      <w:sz w:val="24"/>
                      <w:highlight w:val="none"/>
                    </w:rPr>
                  </w:pPr>
                  <w:r>
                    <w:rPr>
                      <w:rFonts w:hint="eastAsia" w:ascii="宋体" w:hAnsi="宋体"/>
                      <w:color w:val="auto"/>
                      <w:sz w:val="24"/>
                      <w:highlight w:val="none"/>
                    </w:rPr>
                    <w:t>0.008%</w:t>
                  </w:r>
                </w:p>
              </w:tc>
              <w:tc>
                <w:tcPr>
                  <w:tcW w:w="1573" w:type="dxa"/>
                  <w:vAlign w:val="center"/>
                </w:tcPr>
                <w:p>
                  <w:pPr>
                    <w:ind w:firstLine="240" w:firstLineChars="100"/>
                    <w:jc w:val="center"/>
                    <w:rPr>
                      <w:rFonts w:ascii="宋体" w:hAnsi="宋体"/>
                      <w:color w:val="auto"/>
                      <w:sz w:val="24"/>
                      <w:highlight w:val="none"/>
                    </w:rPr>
                  </w:pPr>
                  <w:r>
                    <w:rPr>
                      <w:rFonts w:hint="eastAsia" w:ascii="宋体" w:hAnsi="宋体"/>
                      <w:color w:val="auto"/>
                      <w:sz w:val="24"/>
                      <w:highlight w:val="none"/>
                    </w:rPr>
                    <w:t>0.008%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438" w:type="dxa"/>
                  <w:vAlign w:val="center"/>
                </w:tcPr>
                <w:p>
                  <w:pPr>
                    <w:jc w:val="center"/>
                    <w:rPr>
                      <w:rFonts w:ascii="宋体" w:hAnsi="宋体"/>
                      <w:color w:val="auto"/>
                      <w:sz w:val="24"/>
                      <w:highlight w:val="none"/>
                    </w:rPr>
                  </w:pPr>
                  <w:r>
                    <w:rPr>
                      <w:rFonts w:hint="eastAsia" w:ascii="宋体" w:hAnsi="宋体"/>
                      <w:color w:val="auto"/>
                      <w:sz w:val="24"/>
                      <w:highlight w:val="none"/>
                    </w:rPr>
                    <w:t>50～100亿元</w:t>
                  </w:r>
                </w:p>
              </w:tc>
              <w:tc>
                <w:tcPr>
                  <w:tcW w:w="1485" w:type="dxa"/>
                  <w:vAlign w:val="center"/>
                </w:tcPr>
                <w:p>
                  <w:pPr>
                    <w:jc w:val="center"/>
                    <w:rPr>
                      <w:rFonts w:ascii="宋体" w:hAnsi="宋体"/>
                      <w:color w:val="auto"/>
                      <w:sz w:val="24"/>
                      <w:highlight w:val="none"/>
                    </w:rPr>
                  </w:pPr>
                  <w:r>
                    <w:rPr>
                      <w:rFonts w:hint="eastAsia" w:ascii="宋体" w:hAnsi="宋体"/>
                      <w:color w:val="auto"/>
                      <w:sz w:val="24"/>
                      <w:highlight w:val="none"/>
                    </w:rPr>
                    <w:t>0.006%</w:t>
                  </w:r>
                </w:p>
              </w:tc>
              <w:tc>
                <w:tcPr>
                  <w:tcW w:w="1573" w:type="dxa"/>
                  <w:vAlign w:val="center"/>
                </w:tcPr>
                <w:p>
                  <w:pPr>
                    <w:ind w:firstLine="240" w:firstLineChars="100"/>
                    <w:jc w:val="center"/>
                    <w:rPr>
                      <w:rFonts w:ascii="宋体" w:hAnsi="宋体"/>
                      <w:color w:val="auto"/>
                      <w:sz w:val="24"/>
                      <w:highlight w:val="none"/>
                    </w:rPr>
                  </w:pPr>
                  <w:r>
                    <w:rPr>
                      <w:rFonts w:hint="eastAsia" w:ascii="宋体" w:hAnsi="宋体"/>
                      <w:color w:val="auto"/>
                      <w:sz w:val="24"/>
                      <w:highlight w:val="none"/>
                    </w:rPr>
                    <w:t>0.006%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9" w:hRule="atLeast"/>
                <w:jc w:val="center"/>
              </w:trPr>
              <w:tc>
                <w:tcPr>
                  <w:tcW w:w="2438" w:type="dxa"/>
                  <w:vAlign w:val="center"/>
                </w:tcPr>
                <w:p>
                  <w:pPr>
                    <w:jc w:val="center"/>
                    <w:rPr>
                      <w:rFonts w:ascii="宋体" w:hAnsi="宋体"/>
                      <w:color w:val="auto"/>
                      <w:sz w:val="24"/>
                      <w:highlight w:val="none"/>
                    </w:rPr>
                  </w:pPr>
                  <w:r>
                    <w:rPr>
                      <w:rFonts w:hint="eastAsia" w:ascii="宋体" w:hAnsi="宋体"/>
                      <w:color w:val="auto"/>
                      <w:sz w:val="24"/>
                      <w:highlight w:val="none"/>
                    </w:rPr>
                    <w:t>100亿以上</w:t>
                  </w:r>
                </w:p>
              </w:tc>
              <w:tc>
                <w:tcPr>
                  <w:tcW w:w="1485" w:type="dxa"/>
                  <w:vAlign w:val="center"/>
                </w:tcPr>
                <w:p>
                  <w:pPr>
                    <w:jc w:val="center"/>
                    <w:rPr>
                      <w:rFonts w:ascii="宋体" w:hAnsi="宋体"/>
                      <w:color w:val="auto"/>
                      <w:sz w:val="24"/>
                      <w:highlight w:val="none"/>
                    </w:rPr>
                  </w:pPr>
                  <w:r>
                    <w:rPr>
                      <w:rFonts w:hint="eastAsia" w:ascii="宋体" w:hAnsi="宋体"/>
                      <w:color w:val="auto"/>
                      <w:sz w:val="24"/>
                      <w:highlight w:val="none"/>
                    </w:rPr>
                    <w:t>0.004%</w:t>
                  </w:r>
                </w:p>
              </w:tc>
              <w:tc>
                <w:tcPr>
                  <w:tcW w:w="1573" w:type="dxa"/>
                  <w:vAlign w:val="center"/>
                </w:tcPr>
                <w:p>
                  <w:pPr>
                    <w:ind w:firstLine="240" w:firstLineChars="100"/>
                    <w:jc w:val="center"/>
                    <w:rPr>
                      <w:rFonts w:ascii="宋体" w:hAnsi="宋体"/>
                      <w:color w:val="auto"/>
                      <w:sz w:val="24"/>
                      <w:highlight w:val="none"/>
                    </w:rPr>
                  </w:pPr>
                  <w:r>
                    <w:rPr>
                      <w:rFonts w:hint="eastAsia" w:ascii="宋体" w:hAnsi="宋体"/>
                      <w:color w:val="auto"/>
                      <w:sz w:val="24"/>
                      <w:highlight w:val="none"/>
                    </w:rPr>
                    <w:t>0.004%</w:t>
                  </w:r>
                </w:p>
              </w:tc>
            </w:tr>
          </w:tbl>
          <w:p>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例如：某货物招标中标金额/采购预算为人民币850万元，计算采购代理服务收费额如下：</w:t>
            </w:r>
          </w:p>
          <w:p>
            <w:pPr>
              <w:snapToGrid w:val="0"/>
              <w:spacing w:line="360" w:lineRule="auto"/>
              <w:ind w:left="316" w:leftChars="158" w:firstLine="1680" w:firstLineChars="700"/>
              <w:jc w:val="left"/>
              <w:rPr>
                <w:rFonts w:ascii="宋体" w:hAnsi="宋体" w:cs="宋体"/>
                <w:color w:val="auto"/>
                <w:sz w:val="24"/>
                <w:highlight w:val="none"/>
              </w:rPr>
            </w:pPr>
            <w:r>
              <w:rPr>
                <w:rFonts w:hint="eastAsia" w:ascii="宋体" w:hAnsi="宋体" w:cs="宋体"/>
                <w:color w:val="auto"/>
                <w:sz w:val="24"/>
                <w:highlight w:val="none"/>
              </w:rPr>
              <w:t>100万元×1.5%=1.5万元</w:t>
            </w:r>
          </w:p>
          <w:p>
            <w:pPr>
              <w:snapToGrid w:val="0"/>
              <w:spacing w:line="360" w:lineRule="auto"/>
              <w:ind w:left="316" w:leftChars="158" w:firstLine="1440" w:firstLineChars="600"/>
              <w:jc w:val="left"/>
              <w:rPr>
                <w:rFonts w:ascii="宋体" w:hAnsi="宋体" w:cs="宋体"/>
                <w:color w:val="auto"/>
                <w:sz w:val="24"/>
                <w:highlight w:val="none"/>
              </w:rPr>
            </w:pPr>
            <w:r>
              <w:rPr>
                <w:rFonts w:hint="eastAsia" w:ascii="宋体" w:hAnsi="宋体" w:cs="宋体"/>
                <w:color w:val="auto"/>
                <w:sz w:val="24"/>
                <w:highlight w:val="none"/>
              </w:rPr>
              <w:t>（500-100）万元×1.1%=4.4万元</w:t>
            </w:r>
          </w:p>
          <w:p>
            <w:pPr>
              <w:snapToGrid w:val="0"/>
              <w:spacing w:line="360" w:lineRule="auto"/>
              <w:ind w:left="316" w:leftChars="158" w:firstLine="1320" w:firstLineChars="550"/>
              <w:jc w:val="left"/>
              <w:rPr>
                <w:rFonts w:ascii="宋体" w:hAnsi="宋体" w:cs="宋体"/>
                <w:color w:val="auto"/>
                <w:sz w:val="24"/>
                <w:highlight w:val="none"/>
              </w:rPr>
            </w:pPr>
            <w:r>
              <w:rPr>
                <w:rFonts w:hint="eastAsia" w:ascii="宋体" w:hAnsi="宋体" w:cs="宋体"/>
                <w:color w:val="auto"/>
                <w:sz w:val="24"/>
                <w:highlight w:val="none"/>
              </w:rPr>
              <w:t>（850-500）万元×0.8%=2.8万元</w:t>
            </w:r>
          </w:p>
          <w:p>
            <w:pPr>
              <w:pStyle w:val="24"/>
              <w:ind w:left="332" w:leftChars="166" w:firstLine="1320" w:firstLineChars="550"/>
              <w:jc w:val="left"/>
              <w:rPr>
                <w:rFonts w:asciiTheme="minorEastAsia" w:hAnsiTheme="minorEastAsia"/>
                <w:b/>
                <w:color w:val="auto"/>
                <w:sz w:val="24"/>
                <w:highlight w:val="none"/>
                <w:shd w:val="pct10" w:color="auto" w:fill="FFFFFF"/>
              </w:rPr>
            </w:pPr>
            <w:r>
              <w:rPr>
                <w:rFonts w:hint="eastAsia" w:ascii="宋体" w:hAnsi="宋体" w:cs="宋体"/>
                <w:color w:val="auto"/>
                <w:sz w:val="24"/>
                <w:highlight w:val="none"/>
              </w:rPr>
              <w:t>合计收费=1.5+4.4+2.8=8.7（万元）</w:t>
            </w:r>
          </w:p>
          <w:p>
            <w:pPr>
              <w:widowControl/>
              <w:spacing w:line="360" w:lineRule="auto"/>
              <w:jc w:val="left"/>
              <w:rPr>
                <w:rFonts w:asciiTheme="minorEastAsia" w:hAnsiTheme="minorEastAsia"/>
                <w:color w:val="auto"/>
                <w:sz w:val="24"/>
                <w:highlight w:val="none"/>
              </w:rPr>
            </w:pPr>
            <w:r>
              <w:rPr>
                <w:rFonts w:hint="eastAsia" w:asciiTheme="minorEastAsia" w:hAnsiTheme="minorEastAsia" w:eastAsiaTheme="minorEastAsia"/>
                <w:color w:val="auto"/>
                <w:sz w:val="24"/>
                <w:highlight w:val="none"/>
              </w:rPr>
              <w:t>方式二：</w:t>
            </w:r>
            <w:r>
              <w:rPr>
                <w:rFonts w:hint="eastAsia" w:asciiTheme="minorEastAsia" w:hAnsiTheme="minorEastAsia"/>
                <w:color w:val="auto"/>
                <w:sz w:val="24"/>
                <w:highlight w:val="none"/>
              </w:rPr>
              <w:t>固定额收费：人民币</w:t>
            </w:r>
            <w:r>
              <w:rPr>
                <w:rFonts w:hint="eastAsia" w:asciiTheme="minorEastAsia" w:hAnsiTheme="minorEastAsia"/>
                <w:bCs/>
                <w:color w:val="auto"/>
                <w:sz w:val="24"/>
                <w:highlight w:val="none"/>
                <w:u w:val="single"/>
              </w:rPr>
              <w:t>/</w:t>
            </w:r>
            <w:r>
              <w:rPr>
                <w:rFonts w:hint="eastAsia" w:asciiTheme="minorEastAsia" w:hAnsiTheme="minorEastAsia"/>
                <w:bCs/>
                <w:color w:val="auto"/>
                <w:sz w:val="24"/>
                <w:highlight w:val="none"/>
              </w:rPr>
              <w:t>元；</w:t>
            </w:r>
          </w:p>
          <w:p>
            <w:pPr>
              <w:pStyle w:val="24"/>
              <w:numPr>
                <w:ilvl w:val="0"/>
                <w:numId w:val="53"/>
              </w:numPr>
              <w:tabs>
                <w:tab w:val="left" w:pos="524"/>
                <w:tab w:val="left" w:pos="601"/>
              </w:tabs>
              <w:snapToGrid w:val="0"/>
              <w:ind w:left="99" w:hanging="99" w:firstLineChars="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投标人应签署第六章所附格式的采购代理服务费承诺书，作为投标文件的一部分</w:t>
            </w:r>
            <w:r>
              <w:rPr>
                <w:rFonts w:asciiTheme="minorEastAsia" w:hAnsiTheme="minorEastAsia" w:eastAsiaTheme="minorEastAsia"/>
                <w:color w:val="auto"/>
                <w:sz w:val="24"/>
                <w:highlight w:val="none"/>
              </w:rPr>
              <w:t>。</w:t>
            </w:r>
          </w:p>
          <w:p>
            <w:pPr>
              <w:pStyle w:val="24"/>
              <w:numPr>
                <w:ilvl w:val="0"/>
                <w:numId w:val="53"/>
              </w:numPr>
              <w:tabs>
                <w:tab w:val="left" w:pos="524"/>
                <w:tab w:val="left" w:pos="601"/>
              </w:tabs>
              <w:snapToGrid w:val="0"/>
              <w:ind w:left="99" w:hanging="99" w:firstLineChars="0"/>
              <w:rPr>
                <w:rFonts w:ascii="宋体" w:hAnsi="宋体"/>
                <w:color w:val="auto"/>
                <w:sz w:val="24"/>
                <w:highlight w:val="none"/>
              </w:rPr>
            </w:pPr>
            <w:r>
              <w:rPr>
                <w:rFonts w:hint="eastAsia" w:asciiTheme="minorEastAsia" w:hAnsiTheme="minorEastAsia" w:eastAsiaTheme="minorEastAsia"/>
                <w:color w:val="auto"/>
                <w:sz w:val="24"/>
                <w:highlight w:val="none"/>
              </w:rPr>
              <w:t>中标人在领取《中标通知书》前应向采购代理机构缴纳采购代理服务费。凭领取人身份证复印件并加盖公章领取《中标通知书》。如采用电汇或银行转账，须同时递交采购代理服务费缴费凭证复印件并加盖公章</w:t>
            </w:r>
            <w:r>
              <w:rPr>
                <w:rFonts w:asciiTheme="minorEastAsia" w:hAnsiTheme="minorEastAsia" w:eastAsiaTheme="minorEastAsia"/>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9986" w:type="dxa"/>
            <w:gridSpan w:val="4"/>
            <w:vAlign w:val="center"/>
          </w:tcPr>
          <w:p>
            <w:pPr>
              <w:tabs>
                <w:tab w:val="left" w:pos="524"/>
                <w:tab w:val="left" w:pos="601"/>
              </w:tabs>
              <w:snapToGrid w:val="0"/>
              <w:jc w:val="center"/>
              <w:rPr>
                <w:rFonts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rPr>
              <w:t>六、询问、质疑、投诉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314" w:type="dxa"/>
            <w:vAlign w:val="center"/>
          </w:tcPr>
          <w:p>
            <w:pPr>
              <w:jc w:val="center"/>
              <w:rPr>
                <w:rFonts w:asciiTheme="minorEastAsia" w:hAnsiTheme="minorEastAsia" w:eastAsiaTheme="minorEastAsia"/>
                <w:color w:val="auto"/>
                <w:sz w:val="24"/>
                <w:highlight w:val="none"/>
              </w:rPr>
            </w:pPr>
            <w:r>
              <w:rPr>
                <w:rFonts w:hint="eastAsia" w:hAnsiTheme="minorEastAsia"/>
                <w:color w:val="auto"/>
                <w:sz w:val="24"/>
                <w:highlight w:val="none"/>
              </w:rPr>
              <w:t>（一）</w:t>
            </w:r>
          </w:p>
        </w:tc>
        <w:tc>
          <w:tcPr>
            <w:tcW w:w="708" w:type="dxa"/>
            <w:vAlign w:val="center"/>
          </w:tcPr>
          <w:p>
            <w:pPr>
              <w:jc w:val="center"/>
              <w:rPr>
                <w:rFonts w:asciiTheme="minorEastAsia" w:hAnsiTheme="minorEastAsia" w:eastAsiaTheme="minorEastAsia"/>
                <w:color w:val="auto"/>
                <w:sz w:val="24"/>
                <w:highlight w:val="none"/>
              </w:rPr>
            </w:pPr>
            <w:r>
              <w:rPr>
                <w:rFonts w:hint="eastAsia" w:hAnsiTheme="minorEastAsia"/>
                <w:color w:val="auto"/>
                <w:sz w:val="24"/>
                <w:highlight w:val="none"/>
              </w:rPr>
              <w:t>4</w:t>
            </w:r>
          </w:p>
        </w:tc>
        <w:tc>
          <w:tcPr>
            <w:tcW w:w="1418" w:type="dxa"/>
            <w:vAlign w:val="center"/>
          </w:tcPr>
          <w:p>
            <w:pPr>
              <w:jc w:val="center"/>
              <w:rPr>
                <w:rFonts w:ascii="宋体" w:hAnsi="宋体" w:cs="宋体"/>
                <w:color w:val="auto"/>
                <w:sz w:val="24"/>
                <w:highlight w:val="none"/>
              </w:rPr>
            </w:pPr>
            <w:r>
              <w:rPr>
                <w:rFonts w:hint="eastAsia" w:ascii="宋体" w:hAnsi="宋体" w:cs="黑体"/>
                <w:color w:val="auto"/>
                <w:sz w:val="24"/>
                <w:highlight w:val="none"/>
              </w:rPr>
              <w:t>询问函接收联系方式</w:t>
            </w:r>
          </w:p>
        </w:tc>
        <w:tc>
          <w:tcPr>
            <w:tcW w:w="6546" w:type="dxa"/>
            <w:vMerge w:val="restart"/>
          </w:tcPr>
          <w:p>
            <w:pPr>
              <w:tabs>
                <w:tab w:val="left" w:pos="524"/>
                <w:tab w:val="left" w:pos="601"/>
              </w:tabs>
              <w:snapToGrid w:val="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联系人：</w:t>
            </w:r>
            <w:r>
              <w:rPr>
                <w:rFonts w:hint="eastAsia" w:asciiTheme="minorEastAsia" w:hAnsiTheme="minorEastAsia" w:eastAsiaTheme="minorEastAsia"/>
                <w:bCs/>
                <w:color w:val="auto"/>
                <w:sz w:val="24"/>
                <w:highlight w:val="none"/>
                <w:u w:val="single"/>
              </w:rPr>
              <w:t>熊小姐</w:t>
            </w:r>
          </w:p>
          <w:p>
            <w:pPr>
              <w:tabs>
                <w:tab w:val="left" w:pos="524"/>
                <w:tab w:val="left" w:pos="601"/>
              </w:tabs>
              <w:snapToGrid w:val="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联系电话：</w:t>
            </w:r>
            <w:r>
              <w:rPr>
                <w:rFonts w:hint="eastAsia" w:asciiTheme="minorEastAsia" w:hAnsiTheme="minorEastAsia" w:eastAsiaTheme="minorEastAsia"/>
                <w:bCs/>
                <w:color w:val="auto"/>
                <w:sz w:val="24"/>
                <w:highlight w:val="none"/>
                <w:u w:val="single"/>
              </w:rPr>
              <w:t>18826254864</w:t>
            </w:r>
          </w:p>
          <w:p>
            <w:pPr>
              <w:tabs>
                <w:tab w:val="left" w:pos="524"/>
                <w:tab w:val="left" w:pos="601"/>
              </w:tabs>
              <w:snapToGrid w:val="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地址：</w:t>
            </w:r>
            <w:r>
              <w:rPr>
                <w:rFonts w:hint="eastAsia" w:asciiTheme="minorEastAsia" w:hAnsiTheme="minorEastAsia" w:eastAsiaTheme="minorEastAsia"/>
                <w:bCs/>
                <w:color w:val="auto"/>
                <w:sz w:val="24"/>
                <w:highlight w:val="none"/>
                <w:u w:val="single"/>
              </w:rPr>
              <w:t>江门市蓬江区迎宾大道131号中信银行大厦1403室</w:t>
            </w:r>
          </w:p>
          <w:p>
            <w:pPr>
              <w:tabs>
                <w:tab w:val="left" w:pos="524"/>
                <w:tab w:val="left" w:pos="601"/>
              </w:tabs>
              <w:snapToGrid w:val="0"/>
              <w:rPr>
                <w:rFonts w:asciiTheme="minorEastAsia" w:hAnsiTheme="minorEastAsia" w:eastAsiaTheme="minorEastAsia"/>
                <w:color w:val="auto"/>
                <w:sz w:val="24"/>
                <w:highlight w:val="none"/>
              </w:rPr>
            </w:pPr>
            <w:r>
              <w:rPr>
                <w:rFonts w:hint="eastAsia" w:asciiTheme="minorEastAsia" w:hAnsiTheme="minorEastAsia" w:eastAsiaTheme="minorEastAsia"/>
                <w:bCs/>
                <w:color w:val="auto"/>
                <w:sz w:val="24"/>
                <w:highlight w:val="none"/>
              </w:rPr>
              <w:t>电子邮箱：</w:t>
            </w:r>
            <w:r>
              <w:rPr>
                <w:rFonts w:hint="eastAsia" w:asciiTheme="minorEastAsia" w:hAnsiTheme="minorEastAsia" w:eastAsiaTheme="minorEastAsia"/>
                <w:bCs/>
                <w:color w:val="auto"/>
                <w:sz w:val="24"/>
                <w:highlight w:val="none"/>
                <w:u w:val="single"/>
              </w:rPr>
              <w:t>cailianjm@163.com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314" w:type="dxa"/>
            <w:vAlign w:val="center"/>
          </w:tcPr>
          <w:p>
            <w:pPr>
              <w:jc w:val="center"/>
              <w:rPr>
                <w:rFonts w:asciiTheme="minorEastAsia" w:hAnsiTheme="minorEastAsia" w:eastAsiaTheme="minorEastAsia"/>
                <w:color w:val="auto"/>
                <w:sz w:val="24"/>
                <w:highlight w:val="none"/>
              </w:rPr>
            </w:pPr>
            <w:r>
              <w:rPr>
                <w:rFonts w:hint="eastAsia" w:hAnsiTheme="minorEastAsia"/>
                <w:color w:val="auto"/>
                <w:sz w:val="24"/>
                <w:highlight w:val="none"/>
              </w:rPr>
              <w:t>（二）</w:t>
            </w:r>
          </w:p>
        </w:tc>
        <w:tc>
          <w:tcPr>
            <w:tcW w:w="708" w:type="dxa"/>
            <w:vAlign w:val="center"/>
          </w:tcPr>
          <w:p>
            <w:pPr>
              <w:jc w:val="center"/>
              <w:rPr>
                <w:rFonts w:asciiTheme="minorEastAsia" w:hAnsiTheme="minorEastAsia" w:eastAsiaTheme="minorEastAsia"/>
                <w:color w:val="auto"/>
                <w:sz w:val="24"/>
                <w:highlight w:val="none"/>
              </w:rPr>
            </w:pPr>
            <w:r>
              <w:rPr>
                <w:rFonts w:hint="eastAsia" w:hAnsiTheme="minorEastAsia"/>
                <w:color w:val="auto"/>
                <w:sz w:val="24"/>
                <w:highlight w:val="none"/>
              </w:rPr>
              <w:t>5</w:t>
            </w:r>
          </w:p>
        </w:tc>
        <w:tc>
          <w:tcPr>
            <w:tcW w:w="1418" w:type="dxa"/>
            <w:vAlign w:val="center"/>
          </w:tcPr>
          <w:p>
            <w:pPr>
              <w:jc w:val="center"/>
              <w:rPr>
                <w:rFonts w:ascii="宋体" w:hAnsi="宋体" w:cs="宋体"/>
                <w:color w:val="auto"/>
                <w:sz w:val="24"/>
                <w:highlight w:val="none"/>
              </w:rPr>
            </w:pPr>
            <w:r>
              <w:rPr>
                <w:rFonts w:hint="eastAsia" w:hAnsi="宋体"/>
                <w:snapToGrid w:val="0"/>
                <w:color w:val="auto"/>
                <w:sz w:val="24"/>
                <w:highlight w:val="none"/>
              </w:rPr>
              <w:t>质疑函接收联系方式</w:t>
            </w:r>
          </w:p>
        </w:tc>
        <w:tc>
          <w:tcPr>
            <w:tcW w:w="6546" w:type="dxa"/>
            <w:vMerge w:val="continue"/>
          </w:tcPr>
          <w:p>
            <w:pPr>
              <w:tabs>
                <w:tab w:val="left" w:pos="524"/>
                <w:tab w:val="left" w:pos="601"/>
              </w:tabs>
              <w:snapToGrid w:val="0"/>
              <w:rPr>
                <w:rFonts w:asciiTheme="minorEastAsia" w:hAnsiTheme="minorEastAsia" w:eastAsiaTheme="minorEastAsia"/>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9986" w:type="dxa"/>
            <w:gridSpan w:val="4"/>
            <w:vAlign w:val="center"/>
          </w:tcPr>
          <w:p>
            <w:pPr>
              <w:jc w:val="center"/>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其他说明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314"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c>
          <w:tcPr>
            <w:tcW w:w="708"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c>
          <w:tcPr>
            <w:tcW w:w="1418"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c>
          <w:tcPr>
            <w:tcW w:w="6546" w:type="dxa"/>
            <w:vAlign w:val="center"/>
          </w:tcPr>
          <w:p>
            <w:pPr>
              <w:snapToGrid w:val="0"/>
              <w:rPr>
                <w:rFonts w:cs="宋体" w:asciiTheme="minorEastAsia" w:hAnsiTheme="minorEastAsia" w:eastAsiaTheme="minorEastAsia"/>
                <w:color w:val="auto"/>
                <w:sz w:val="24"/>
                <w:highlight w:val="none"/>
              </w:rPr>
            </w:pPr>
            <w:r>
              <w:rPr>
                <w:rFonts w:hint="eastAsia" w:asciiTheme="minorEastAsia" w:hAnsiTheme="minorEastAsia" w:eastAsiaTheme="minorEastAsia"/>
                <w:bCs/>
                <w:color w:val="auto"/>
                <w:sz w:val="24"/>
                <w:highlight w:val="none"/>
              </w:rPr>
              <w:t>本项目相关公告在以下媒体发布:</w:t>
            </w:r>
          </w:p>
          <w:p>
            <w:pPr>
              <w:snapToGrid w:val="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1、采购代理机构网站（www.chinapsp.cn）。</w:t>
            </w:r>
          </w:p>
          <w:p>
            <w:pPr>
              <w:snapToGrid w:val="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2、法定媒体：</w:t>
            </w:r>
            <w:r>
              <w:rPr>
                <w:rFonts w:hint="eastAsia" w:asciiTheme="minorEastAsia" w:hAnsiTheme="minorEastAsia" w:eastAsiaTheme="minorEastAsia"/>
                <w:color w:val="auto"/>
                <w:spacing w:val="-6"/>
                <w:sz w:val="24"/>
                <w:highlight w:val="none"/>
              </w:rPr>
              <w:t>中国政府采购网(www.ccgp.gov.cn)、广东省政府采购网（www.gdgpo.gov.cn）、江门政府采购网（http://163.177.97.54/index.asp）、江门市公共资源交易网（http://www.jiangmen.gov.cn/bmpd/jmsggzyjyzx/index.html）</w:t>
            </w:r>
            <w:r>
              <w:rPr>
                <w:rFonts w:hint="eastAsia" w:asciiTheme="minorEastAsia" w:hAnsiTheme="minorEastAsia" w:eastAsiaTheme="minorEastAsia"/>
                <w:color w:val="auto"/>
                <w:sz w:val="24"/>
                <w:highlight w:val="none"/>
              </w:rPr>
              <w:t>。相关公告在法定媒体上公布之日即视为有效送达，不再另行通知。</w:t>
            </w:r>
          </w:p>
          <w:p>
            <w:pPr>
              <w:snapToGrid w:val="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备注：在不同媒体发布的同一政府采购信息内容、时间不一致的，以在中国政府采购网或者其省级分网发布的信息为准。同时在中国政府采购网和省级分网发布的，以在中国政府采购网上发布的信息为准。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314"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c>
          <w:tcPr>
            <w:tcW w:w="708" w:type="dxa"/>
            <w:vAlign w:val="center"/>
          </w:tcPr>
          <w:p>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c>
          <w:tcPr>
            <w:tcW w:w="1418"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分包</w:t>
            </w:r>
          </w:p>
        </w:tc>
        <w:tc>
          <w:tcPr>
            <w:tcW w:w="6546" w:type="dxa"/>
            <w:vAlign w:val="center"/>
          </w:tcPr>
          <w:p>
            <w:pPr>
              <w:rPr>
                <w:rFonts w:ascii="宋体" w:hAnsi="宋体" w:cs="宋体"/>
                <w:color w:val="auto"/>
                <w:sz w:val="24"/>
                <w:highlight w:val="none"/>
              </w:rPr>
            </w:pPr>
            <w:r>
              <w:rPr>
                <w:rFonts w:hint="eastAsia" w:ascii="宋体" w:hAnsi="宋体" w:cs="宋体"/>
                <w:color w:val="auto"/>
                <w:sz w:val="24"/>
                <w:highlight w:val="none"/>
              </w:rPr>
              <w:t>方式一：☑不允许；</w:t>
            </w:r>
          </w:p>
          <w:p>
            <w:pPr>
              <w:rPr>
                <w:rFonts w:ascii="宋体" w:hAnsi="宋体" w:cs="宋体"/>
                <w:color w:val="auto"/>
                <w:sz w:val="24"/>
                <w:highlight w:val="none"/>
              </w:rPr>
            </w:pPr>
            <w:r>
              <w:rPr>
                <w:rFonts w:hint="eastAsia" w:ascii="宋体" w:hAnsi="宋体" w:cs="宋体"/>
                <w:color w:val="auto"/>
                <w:sz w:val="24"/>
                <w:highlight w:val="none"/>
              </w:rPr>
              <w:t>方式二：□允许：</w:t>
            </w:r>
          </w:p>
          <w:p>
            <w:pPr>
              <w:pStyle w:val="24"/>
              <w:numPr>
                <w:ilvl w:val="0"/>
                <w:numId w:val="54"/>
              </w:numPr>
              <w:tabs>
                <w:tab w:val="left" w:pos="459"/>
                <w:tab w:val="left" w:pos="601"/>
                <w:tab w:val="left" w:pos="2773"/>
              </w:tabs>
              <w:snapToGrid w:val="0"/>
              <w:ind w:left="420" w:leftChars="0" w:hanging="420" w:firstLineChars="0"/>
              <w:rPr>
                <w:rFonts w:ascii="宋体" w:hAnsi="宋体" w:cs="宋体"/>
                <w:color w:val="auto"/>
                <w:sz w:val="24"/>
                <w:highlight w:val="none"/>
                <w:lang w:eastAsia="zh-TW"/>
              </w:rPr>
            </w:pPr>
            <w:r>
              <w:rPr>
                <w:rFonts w:hint="eastAsia" w:ascii="宋体" w:hAnsi="宋体" w:cs="宋体"/>
                <w:color w:val="auto"/>
                <w:sz w:val="24"/>
                <w:highlight w:val="none"/>
                <w:lang w:eastAsia="zh-TW"/>
              </w:rPr>
              <w:t>分包履行的具体内容：</w:t>
            </w:r>
          </w:p>
          <w:p>
            <w:pPr>
              <w:pStyle w:val="24"/>
              <w:numPr>
                <w:ilvl w:val="0"/>
                <w:numId w:val="54"/>
              </w:numPr>
              <w:tabs>
                <w:tab w:val="left" w:pos="459"/>
                <w:tab w:val="left" w:pos="601"/>
                <w:tab w:val="left" w:pos="2773"/>
              </w:tabs>
              <w:snapToGrid w:val="0"/>
              <w:ind w:left="420" w:leftChars="0" w:hanging="420" w:firstLineChars="0"/>
              <w:rPr>
                <w:rFonts w:ascii="宋体" w:hAnsi="宋体" w:cs="宋体"/>
                <w:color w:val="auto"/>
                <w:sz w:val="24"/>
                <w:highlight w:val="none"/>
                <w:lang w:eastAsia="zh-TW"/>
              </w:rPr>
            </w:pPr>
            <w:r>
              <w:rPr>
                <w:rFonts w:hint="eastAsia" w:ascii="宋体" w:hAnsi="宋体" w:cs="宋体"/>
                <w:color w:val="auto"/>
                <w:sz w:val="24"/>
                <w:highlight w:val="none"/>
              </w:rPr>
              <w:t>分包</w:t>
            </w:r>
            <w:r>
              <w:rPr>
                <w:rFonts w:hint="eastAsia" w:ascii="宋体" w:hAnsi="宋体" w:cs="宋体"/>
                <w:color w:val="auto"/>
                <w:sz w:val="24"/>
                <w:highlight w:val="none"/>
                <w:lang w:eastAsia="zh-TW"/>
              </w:rPr>
              <w:t>金额</w:t>
            </w:r>
            <w:r>
              <w:rPr>
                <w:rFonts w:hint="eastAsia" w:ascii="宋体" w:hAnsi="宋体" w:cs="宋体"/>
                <w:color w:val="auto"/>
                <w:sz w:val="24"/>
                <w:highlight w:val="none"/>
              </w:rPr>
              <w:t>(比例)</w:t>
            </w:r>
            <w:r>
              <w:rPr>
                <w:rFonts w:hint="eastAsia" w:ascii="宋体" w:hAnsi="宋体" w:cs="宋体"/>
                <w:color w:val="auto"/>
                <w:sz w:val="24"/>
                <w:highlight w:val="none"/>
                <w:lang w:eastAsia="zh-TW"/>
              </w:rPr>
              <w:t>：</w:t>
            </w:r>
          </w:p>
          <w:p>
            <w:pPr>
              <w:pStyle w:val="24"/>
              <w:numPr>
                <w:ilvl w:val="0"/>
                <w:numId w:val="54"/>
              </w:numPr>
              <w:tabs>
                <w:tab w:val="left" w:pos="459"/>
                <w:tab w:val="left" w:pos="601"/>
                <w:tab w:val="left" w:pos="2773"/>
              </w:tabs>
              <w:snapToGrid w:val="0"/>
              <w:ind w:left="420" w:leftChars="0" w:hanging="420" w:firstLineChars="0"/>
              <w:rPr>
                <w:rFonts w:ascii="宋体" w:hAnsi="宋体" w:cs="宋体"/>
                <w:color w:val="auto"/>
                <w:sz w:val="24"/>
                <w:highlight w:val="none"/>
                <w:lang w:eastAsia="zh-TW"/>
              </w:rPr>
            </w:pPr>
            <w:r>
              <w:rPr>
                <w:rFonts w:hint="eastAsia" w:ascii="宋体" w:hAnsi="宋体" w:cs="宋体"/>
                <w:color w:val="auto"/>
                <w:sz w:val="24"/>
                <w:highlight w:val="none"/>
                <w:lang w:eastAsia="zh-TW"/>
              </w:rPr>
              <w:t>对分包人的资质要求：</w:t>
            </w:r>
          </w:p>
          <w:p>
            <w:pPr>
              <w:pStyle w:val="24"/>
              <w:numPr>
                <w:ilvl w:val="0"/>
                <w:numId w:val="54"/>
              </w:numPr>
              <w:tabs>
                <w:tab w:val="left" w:pos="0"/>
                <w:tab w:val="left" w:pos="99"/>
                <w:tab w:val="left" w:pos="2773"/>
              </w:tabs>
              <w:snapToGrid w:val="0"/>
              <w:ind w:left="420" w:leftChars="0" w:hanging="420" w:firstLineChars="0"/>
              <w:rPr>
                <w:rFonts w:ascii="宋体" w:hAnsi="宋体" w:cs="宋体"/>
                <w:color w:val="auto"/>
                <w:sz w:val="24"/>
                <w:highlight w:val="none"/>
              </w:rPr>
            </w:pPr>
            <w:r>
              <w:rPr>
                <w:rFonts w:hint="eastAsia" w:asciiTheme="minorEastAsia" w:hAnsiTheme="minorEastAsia" w:eastAsiaTheme="minorEastAsia"/>
                <w:color w:val="auto"/>
                <w:sz w:val="24"/>
                <w:highlight w:val="none"/>
              </w:rPr>
              <w:t>投标人应当在投标文件中载明拟在中标后将中标项目</w:t>
            </w:r>
          </w:p>
          <w:p>
            <w:pPr>
              <w:pStyle w:val="24"/>
              <w:tabs>
                <w:tab w:val="left" w:pos="0"/>
                <w:tab w:val="left" w:pos="99"/>
                <w:tab w:val="left" w:pos="2773"/>
              </w:tabs>
              <w:snapToGrid w:val="0"/>
              <w:ind w:left="601" w:firstLine="0" w:firstLineChars="0"/>
              <w:rPr>
                <w:rFonts w:ascii="宋体" w:hAnsi="宋体" w:cs="宋体"/>
                <w:color w:val="auto"/>
                <w:sz w:val="24"/>
                <w:highlight w:val="none"/>
              </w:rPr>
            </w:pPr>
            <w:r>
              <w:rPr>
                <w:rFonts w:hint="eastAsia" w:asciiTheme="minorEastAsia" w:hAnsiTheme="minorEastAsia" w:eastAsiaTheme="minorEastAsia"/>
                <w:color w:val="auto"/>
                <w:sz w:val="24"/>
                <w:highlight w:val="none"/>
              </w:rPr>
              <w:t>的非主体、非关键性工作分包的承担主体，分包承担主体应当具备相应资质条件且不得再次分包。</w:t>
            </w:r>
          </w:p>
        </w:tc>
      </w:tr>
    </w:tbl>
    <w:p>
      <w:pPr>
        <w:widowControl/>
        <w:jc w:val="left"/>
        <w:rPr>
          <w:color w:val="auto"/>
          <w:highlight w:val="none"/>
        </w:rPr>
      </w:pPr>
    </w:p>
    <w:p>
      <w:pPr>
        <w:snapToGrid w:val="0"/>
        <w:spacing w:line="360" w:lineRule="auto"/>
        <w:jc w:val="center"/>
        <w:outlineLvl w:val="1"/>
        <w:rPr>
          <w:b/>
          <w:bCs/>
          <w:color w:val="auto"/>
          <w:sz w:val="28"/>
          <w:szCs w:val="28"/>
          <w:highlight w:val="none"/>
        </w:rPr>
        <w:sectPr>
          <w:pgSz w:w="11906" w:h="16838"/>
          <w:pgMar w:top="1440" w:right="849" w:bottom="1440" w:left="993" w:header="851" w:footer="992" w:gutter="0"/>
          <w:cols w:space="720" w:num="1"/>
          <w:docGrid w:type="lines" w:linePitch="312" w:charSpace="0"/>
        </w:sectPr>
      </w:pPr>
    </w:p>
    <w:p>
      <w:pPr>
        <w:snapToGrid w:val="0"/>
        <w:spacing w:line="360" w:lineRule="auto"/>
        <w:jc w:val="center"/>
        <w:outlineLvl w:val="1"/>
        <w:rPr>
          <w:b/>
          <w:bCs/>
          <w:color w:val="auto"/>
          <w:sz w:val="28"/>
          <w:szCs w:val="28"/>
          <w:highlight w:val="none"/>
        </w:rPr>
      </w:pPr>
      <w:bookmarkStart w:id="22" w:name="_Toc30120"/>
      <w:r>
        <w:rPr>
          <w:rFonts w:hint="eastAsia"/>
          <w:b/>
          <w:bCs/>
          <w:color w:val="auto"/>
          <w:sz w:val="28"/>
          <w:szCs w:val="28"/>
          <w:highlight w:val="none"/>
        </w:rPr>
        <w:t>第二部分 投标人须知通用条款</w:t>
      </w:r>
      <w:bookmarkEnd w:id="22"/>
    </w:p>
    <w:p>
      <w:pPr>
        <w:numPr>
          <w:ilvl w:val="0"/>
          <w:numId w:val="55"/>
        </w:numPr>
        <w:tabs>
          <w:tab w:val="left" w:pos="4395"/>
        </w:tabs>
        <w:autoSpaceDE w:val="0"/>
        <w:autoSpaceDN w:val="0"/>
        <w:snapToGrid w:val="0"/>
        <w:spacing w:line="360" w:lineRule="auto"/>
        <w:ind w:hanging="5399"/>
        <w:jc w:val="center"/>
        <w:outlineLvl w:val="2"/>
        <w:rPr>
          <w:rFonts w:ascii="宋体" w:hAnsi="宋体"/>
          <w:b/>
          <w:color w:val="auto"/>
          <w:sz w:val="28"/>
          <w:szCs w:val="28"/>
          <w:highlight w:val="none"/>
        </w:rPr>
      </w:pPr>
      <w:bookmarkStart w:id="23" w:name="_Toc438223136"/>
      <w:bookmarkStart w:id="24" w:name="_Toc435516650"/>
      <w:bookmarkStart w:id="25" w:name="_Toc435174933"/>
      <w:bookmarkStart w:id="26" w:name="_Toc18684"/>
      <w:r>
        <w:rPr>
          <w:rFonts w:hint="eastAsia" w:ascii="宋体" w:hAnsi="宋体"/>
          <w:b/>
          <w:color w:val="auto"/>
          <w:sz w:val="28"/>
          <w:szCs w:val="28"/>
          <w:highlight w:val="none"/>
        </w:rPr>
        <w:t>总</w:t>
      </w:r>
      <w:bookmarkEnd w:id="23"/>
      <w:bookmarkEnd w:id="24"/>
      <w:bookmarkEnd w:id="25"/>
      <w:bookmarkStart w:id="27" w:name="_Toc292267791"/>
      <w:r>
        <w:rPr>
          <w:rFonts w:hint="eastAsia" w:ascii="宋体" w:hAnsi="宋体"/>
          <w:b/>
          <w:color w:val="auto"/>
          <w:sz w:val="28"/>
          <w:szCs w:val="28"/>
          <w:highlight w:val="none"/>
        </w:rPr>
        <w:t>则</w:t>
      </w:r>
      <w:bookmarkEnd w:id="26"/>
    </w:p>
    <w:bookmarkEnd w:id="27"/>
    <w:p>
      <w:pPr>
        <w:numPr>
          <w:ilvl w:val="0"/>
          <w:numId w:val="56"/>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适用范围</w:t>
      </w:r>
    </w:p>
    <w:p>
      <w:pPr>
        <w:numPr>
          <w:ilvl w:val="1"/>
          <w:numId w:val="56"/>
        </w:numPr>
        <w:autoSpaceDE w:val="0"/>
        <w:autoSpaceDN w:val="0"/>
        <w:snapToGrid w:val="0"/>
        <w:spacing w:line="360" w:lineRule="auto"/>
        <w:jc w:val="left"/>
        <w:rPr>
          <w:rFonts w:ascii="宋体" w:hAnsi="宋体"/>
          <w:b/>
          <w:bCs/>
          <w:color w:val="auto"/>
          <w:sz w:val="24"/>
          <w:highlight w:val="none"/>
        </w:rPr>
      </w:pPr>
      <w:r>
        <w:rPr>
          <w:rFonts w:hint="eastAsia" w:ascii="宋体" w:hAnsi="宋体"/>
          <w:color w:val="auto"/>
          <w:sz w:val="24"/>
          <w:highlight w:val="none"/>
        </w:rPr>
        <w:t>本招标文件适用于本</w:t>
      </w:r>
      <w:r>
        <w:rPr>
          <w:rFonts w:hint="eastAsia" w:ascii="宋体" w:hAnsi="宋体"/>
          <w:b/>
          <w:color w:val="auto"/>
          <w:sz w:val="24"/>
          <w:highlight w:val="none"/>
        </w:rPr>
        <w:t>投标邀请</w:t>
      </w:r>
      <w:r>
        <w:rPr>
          <w:rFonts w:hint="eastAsia" w:ascii="宋体" w:hAnsi="宋体"/>
          <w:color w:val="auto"/>
          <w:sz w:val="24"/>
          <w:highlight w:val="none"/>
        </w:rPr>
        <w:t>中所述项目的政府采购。</w:t>
      </w:r>
    </w:p>
    <w:p>
      <w:pPr>
        <w:numPr>
          <w:ilvl w:val="0"/>
          <w:numId w:val="56"/>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定义</w:t>
      </w:r>
    </w:p>
    <w:p>
      <w:pPr>
        <w:numPr>
          <w:ilvl w:val="1"/>
          <w:numId w:val="56"/>
        </w:numPr>
        <w:autoSpaceDE w:val="0"/>
        <w:autoSpaceDN w:val="0"/>
        <w:snapToGrid w:val="0"/>
        <w:spacing w:line="360" w:lineRule="auto"/>
        <w:rPr>
          <w:rFonts w:ascii="宋体" w:hAnsi="宋体" w:cs="黑体"/>
          <w:b/>
          <w:bCs/>
          <w:color w:val="auto"/>
          <w:sz w:val="24"/>
          <w:highlight w:val="none"/>
        </w:rPr>
      </w:pPr>
      <w:r>
        <w:rPr>
          <w:rFonts w:hint="eastAsia" w:ascii="宋体" w:hAnsi="宋体"/>
          <w:color w:val="auto"/>
          <w:sz w:val="24"/>
          <w:highlight w:val="none"/>
        </w:rPr>
        <w:t>政府采购监督管理部门指</w:t>
      </w:r>
      <w:r>
        <w:rPr>
          <w:rFonts w:hint="eastAsia" w:ascii="宋体" w:hAnsi="宋体" w:cs="宋体"/>
          <w:color w:val="auto"/>
          <w:sz w:val="24"/>
          <w:highlight w:val="none"/>
          <w:lang w:eastAsia="zh-TW"/>
        </w:rPr>
        <w:t>人民政府财政部门</w:t>
      </w:r>
      <w:r>
        <w:rPr>
          <w:rFonts w:hint="eastAsia" w:ascii="宋体" w:hAnsi="宋体" w:cs="宋体"/>
          <w:color w:val="auto"/>
          <w:sz w:val="24"/>
          <w:highlight w:val="none"/>
        </w:rPr>
        <w:t>。</w:t>
      </w:r>
    </w:p>
    <w:p>
      <w:pPr>
        <w:numPr>
          <w:ilvl w:val="1"/>
          <w:numId w:val="56"/>
        </w:numPr>
        <w:autoSpaceDE w:val="0"/>
        <w:autoSpaceDN w:val="0"/>
        <w:snapToGrid w:val="0"/>
        <w:spacing w:line="360" w:lineRule="auto"/>
        <w:rPr>
          <w:rFonts w:ascii="宋体" w:hAnsi="宋体"/>
          <w:color w:val="auto"/>
          <w:sz w:val="24"/>
          <w:highlight w:val="none"/>
        </w:rPr>
      </w:pPr>
      <w:r>
        <w:rPr>
          <w:rFonts w:hint="eastAsia" w:ascii="宋体" w:hAnsi="宋体"/>
          <w:color w:val="auto"/>
          <w:sz w:val="24"/>
          <w:highlight w:val="none"/>
        </w:rPr>
        <w:t>采购人指各级</w:t>
      </w:r>
      <w:r>
        <w:rPr>
          <w:rFonts w:ascii="宋体" w:hAnsi="宋体"/>
          <w:color w:val="auto"/>
          <w:sz w:val="24"/>
          <w:highlight w:val="none"/>
        </w:rPr>
        <w:t>国家机关、事业单位和团体组织</w:t>
      </w:r>
      <w:r>
        <w:rPr>
          <w:rFonts w:hint="eastAsia" w:ascii="宋体" w:hAnsi="宋体"/>
          <w:color w:val="auto"/>
          <w:sz w:val="24"/>
          <w:highlight w:val="none"/>
        </w:rPr>
        <w:t>。</w:t>
      </w:r>
      <w:r>
        <w:rPr>
          <w:rFonts w:hint="eastAsia" w:ascii="宋体" w:hAnsi="宋体" w:cs="宋体"/>
          <w:color w:val="auto"/>
          <w:sz w:val="24"/>
          <w:highlight w:val="none"/>
          <w:lang w:eastAsia="zh-TW"/>
        </w:rPr>
        <w:t>本招标文件中所述的采购人已拥有一笔</w:t>
      </w:r>
      <w:r>
        <w:rPr>
          <w:rFonts w:hint="eastAsia" w:ascii="宋体" w:hAnsi="宋体" w:cs="宋体"/>
          <w:color w:val="auto"/>
          <w:sz w:val="24"/>
          <w:highlight w:val="none"/>
        </w:rPr>
        <w:t>财政性</w:t>
      </w:r>
      <w:r>
        <w:rPr>
          <w:rFonts w:hint="eastAsia" w:ascii="宋体" w:hAnsi="宋体" w:cs="宋体"/>
          <w:color w:val="auto"/>
          <w:sz w:val="24"/>
          <w:highlight w:val="none"/>
          <w:lang w:eastAsia="zh-TW"/>
        </w:rPr>
        <w:t>资金</w:t>
      </w:r>
      <w:r>
        <w:rPr>
          <w:rFonts w:hint="eastAsia" w:ascii="宋体" w:hAnsi="宋体" w:cs="宋体"/>
          <w:color w:val="auto"/>
          <w:sz w:val="24"/>
          <w:highlight w:val="none"/>
        </w:rPr>
        <w:t>/贷款或资金来源已落实</w:t>
      </w:r>
      <w:r>
        <w:rPr>
          <w:rFonts w:hint="eastAsia" w:ascii="宋体" w:hAnsi="宋体" w:cs="宋体"/>
          <w:color w:val="auto"/>
          <w:sz w:val="24"/>
          <w:highlight w:val="none"/>
          <w:lang w:eastAsia="zh-TW"/>
        </w:rPr>
        <w:t>。采购人计划将一部分</w:t>
      </w:r>
      <w:r>
        <w:rPr>
          <w:rFonts w:hint="eastAsia" w:ascii="宋体" w:hAnsi="宋体" w:cs="宋体"/>
          <w:color w:val="auto"/>
          <w:sz w:val="24"/>
          <w:highlight w:val="none"/>
        </w:rPr>
        <w:t>或全部</w:t>
      </w:r>
      <w:r>
        <w:rPr>
          <w:rFonts w:hint="eastAsia" w:ascii="宋体" w:hAnsi="宋体" w:cs="宋体"/>
          <w:color w:val="auto"/>
          <w:sz w:val="24"/>
          <w:highlight w:val="none"/>
          <w:lang w:eastAsia="zh-TW"/>
        </w:rPr>
        <w:t>资金</w:t>
      </w:r>
      <w:r>
        <w:rPr>
          <w:rFonts w:hint="eastAsia" w:ascii="宋体" w:hAnsi="宋体" w:cs="宋体"/>
          <w:color w:val="auto"/>
          <w:sz w:val="24"/>
          <w:highlight w:val="none"/>
        </w:rPr>
        <w:t>/贷款</w:t>
      </w:r>
      <w:r>
        <w:rPr>
          <w:rFonts w:hint="eastAsia" w:ascii="宋体" w:hAnsi="宋体" w:cs="宋体"/>
          <w:color w:val="auto"/>
          <w:sz w:val="24"/>
          <w:highlight w:val="none"/>
          <w:lang w:eastAsia="zh-TW"/>
        </w:rPr>
        <w:t>用于支付本次</w:t>
      </w:r>
      <w:r>
        <w:rPr>
          <w:rFonts w:hint="eastAsia" w:ascii="宋体" w:hAnsi="宋体" w:cs="宋体"/>
          <w:color w:val="auto"/>
          <w:sz w:val="24"/>
          <w:highlight w:val="none"/>
        </w:rPr>
        <w:t>招标</w:t>
      </w:r>
      <w:r>
        <w:rPr>
          <w:rFonts w:hint="eastAsia" w:ascii="宋体" w:hAnsi="宋体" w:cs="宋体"/>
          <w:color w:val="auto"/>
          <w:sz w:val="24"/>
          <w:highlight w:val="none"/>
          <w:lang w:eastAsia="zh-TW"/>
        </w:rPr>
        <w:t>后所签订合同项下的款项</w:t>
      </w:r>
      <w:r>
        <w:rPr>
          <w:rFonts w:hint="eastAsia" w:ascii="宋体" w:hAnsi="宋体" w:cs="宋体"/>
          <w:color w:val="auto"/>
          <w:sz w:val="24"/>
          <w:highlight w:val="none"/>
        </w:rPr>
        <w:t>。</w:t>
      </w:r>
    </w:p>
    <w:p>
      <w:pPr>
        <w:numPr>
          <w:ilvl w:val="1"/>
          <w:numId w:val="56"/>
        </w:numPr>
        <w:autoSpaceDE w:val="0"/>
        <w:autoSpaceDN w:val="0"/>
        <w:snapToGrid w:val="0"/>
        <w:spacing w:line="360" w:lineRule="auto"/>
        <w:rPr>
          <w:rFonts w:ascii="宋体" w:hAnsi="宋体"/>
          <w:strike/>
          <w:color w:val="auto"/>
          <w:sz w:val="24"/>
          <w:highlight w:val="none"/>
        </w:rPr>
      </w:pPr>
      <w:r>
        <w:rPr>
          <w:rFonts w:hint="eastAsia" w:ascii="宋体" w:hAnsi="宋体"/>
          <w:color w:val="auto"/>
          <w:sz w:val="24"/>
          <w:highlight w:val="none"/>
        </w:rPr>
        <w:t>采购代理机构指按照规定办理名录登记并通过审核的代理机构，其联系方式见</w:t>
      </w:r>
      <w:r>
        <w:rPr>
          <w:rFonts w:hint="eastAsia" w:hAnsi="宋体"/>
          <w:snapToGrid w:val="0"/>
          <w:color w:val="auto"/>
          <w:sz w:val="24"/>
          <w:highlight w:val="none"/>
        </w:rPr>
        <w:t>本</w:t>
      </w:r>
      <w:r>
        <w:rPr>
          <w:rFonts w:hint="eastAsia" w:ascii="宋体" w:hAnsi="宋体"/>
          <w:b/>
          <w:color w:val="auto"/>
          <w:sz w:val="24"/>
          <w:highlight w:val="none"/>
        </w:rPr>
        <w:t>投标邀请</w:t>
      </w:r>
      <w:r>
        <w:rPr>
          <w:rFonts w:hint="eastAsia" w:ascii="宋体" w:hAnsi="宋体"/>
          <w:color w:val="auto"/>
          <w:sz w:val="24"/>
          <w:highlight w:val="none"/>
        </w:rPr>
        <w:t>的联系事项。</w:t>
      </w:r>
    </w:p>
    <w:p>
      <w:pPr>
        <w:numPr>
          <w:ilvl w:val="1"/>
          <w:numId w:val="56"/>
        </w:numPr>
        <w:autoSpaceDE w:val="0"/>
        <w:autoSpaceDN w:val="0"/>
        <w:snapToGrid w:val="0"/>
        <w:spacing w:line="360" w:lineRule="auto"/>
        <w:rPr>
          <w:rFonts w:ascii="宋体" w:hAnsi="宋体"/>
          <w:color w:val="auto"/>
          <w:sz w:val="24"/>
          <w:highlight w:val="none"/>
        </w:rPr>
      </w:pPr>
      <w:r>
        <w:rPr>
          <w:rFonts w:hint="eastAsia" w:ascii="宋体" w:hAnsi="宋体"/>
          <w:color w:val="auto"/>
          <w:sz w:val="24"/>
          <w:highlight w:val="none"/>
        </w:rPr>
        <w:t>供应商是指在中华人民共和国境内注册（登记），向采购人提供货物、工程或者服务的法人、其他组织或者自然人。</w:t>
      </w:r>
    </w:p>
    <w:p>
      <w:pPr>
        <w:numPr>
          <w:ilvl w:val="1"/>
          <w:numId w:val="56"/>
        </w:numPr>
        <w:autoSpaceDE w:val="0"/>
        <w:autoSpaceDN w:val="0"/>
        <w:snapToGrid w:val="0"/>
        <w:spacing w:line="360" w:lineRule="auto"/>
        <w:rPr>
          <w:rFonts w:ascii="宋体" w:hAnsi="宋体"/>
          <w:color w:val="auto"/>
          <w:sz w:val="24"/>
          <w:highlight w:val="none"/>
        </w:rPr>
      </w:pPr>
      <w:r>
        <w:rPr>
          <w:rFonts w:hint="eastAsia" w:ascii="宋体" w:hAnsi="宋体"/>
          <w:color w:val="auto"/>
          <w:sz w:val="24"/>
          <w:highlight w:val="none"/>
        </w:rPr>
        <w:t>投标人是指响应招标、参加投标竞争的法人、其他组织或者自然人。</w:t>
      </w:r>
    </w:p>
    <w:p>
      <w:pPr>
        <w:numPr>
          <w:ilvl w:val="1"/>
          <w:numId w:val="56"/>
        </w:numPr>
        <w:autoSpaceDE w:val="0"/>
        <w:autoSpaceDN w:val="0"/>
        <w:snapToGrid w:val="0"/>
        <w:spacing w:line="360" w:lineRule="auto"/>
        <w:rPr>
          <w:rFonts w:ascii="宋体" w:hAnsi="宋体"/>
          <w:color w:val="auto"/>
          <w:sz w:val="24"/>
          <w:highlight w:val="none"/>
        </w:rPr>
      </w:pPr>
      <w:r>
        <w:rPr>
          <w:rFonts w:hint="eastAsia" w:ascii="宋体" w:hAnsi="宋体"/>
          <w:color w:val="auto"/>
          <w:sz w:val="24"/>
          <w:highlight w:val="none"/>
        </w:rPr>
        <w:t>中标人是指经法定程序确定并授予合同的投标人。</w:t>
      </w:r>
    </w:p>
    <w:p>
      <w:pPr>
        <w:numPr>
          <w:ilvl w:val="0"/>
          <w:numId w:val="56"/>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合格的货物和服务</w:t>
      </w:r>
    </w:p>
    <w:p>
      <w:pPr>
        <w:numPr>
          <w:ilvl w:val="1"/>
          <w:numId w:val="56"/>
        </w:numPr>
        <w:autoSpaceDE w:val="0"/>
        <w:autoSpaceDN w:val="0"/>
        <w:snapToGrid w:val="0"/>
        <w:spacing w:line="360" w:lineRule="auto"/>
        <w:rPr>
          <w:rFonts w:ascii="宋体" w:hAnsi="宋体" w:cs="黑体"/>
          <w:b/>
          <w:bCs/>
          <w:color w:val="auto"/>
          <w:sz w:val="24"/>
          <w:highlight w:val="none"/>
        </w:rPr>
      </w:pPr>
      <w:r>
        <w:rPr>
          <w:rFonts w:hint="eastAsia" w:ascii="宋体" w:hAnsi="宋体"/>
          <w:color w:val="auto"/>
          <w:sz w:val="24"/>
          <w:highlight w:val="none"/>
        </w:rPr>
        <w:t>货物是指投标人制造或组织符合招标文件要求的货物等。投标的货物必须是其合法生产、合法来源的符合国家有关标准要求的货物，并满足招标文件规定的规格、参数、质量、价格、有效期、售后服务等实质性要求，其中包括但不仅仅限于投标人须承担的与供货有关的辅助服务，如运输、保险、安装、调试、提供技术援助、培训和招标文件规定的投标人应承担的其它义务。</w:t>
      </w:r>
    </w:p>
    <w:p>
      <w:pPr>
        <w:numPr>
          <w:ilvl w:val="1"/>
          <w:numId w:val="56"/>
        </w:numPr>
        <w:autoSpaceDE w:val="0"/>
        <w:autoSpaceDN w:val="0"/>
        <w:snapToGrid w:val="0"/>
        <w:spacing w:line="360" w:lineRule="auto"/>
        <w:rPr>
          <w:rFonts w:ascii="宋体" w:hAnsi="宋体"/>
          <w:color w:val="auto"/>
          <w:sz w:val="24"/>
          <w:highlight w:val="none"/>
        </w:rPr>
      </w:pPr>
      <w:r>
        <w:rPr>
          <w:rFonts w:hint="eastAsia" w:ascii="宋体" w:hAnsi="宋体"/>
          <w:color w:val="auto"/>
          <w:sz w:val="24"/>
          <w:highlight w:val="none"/>
        </w:rPr>
        <w:t>服务是指除货物和工程以外的其他政府采购对象，且满足实质性采购需求。</w:t>
      </w:r>
    </w:p>
    <w:p>
      <w:pPr>
        <w:numPr>
          <w:ilvl w:val="1"/>
          <w:numId w:val="56"/>
        </w:numPr>
        <w:autoSpaceDE w:val="0"/>
        <w:autoSpaceDN w:val="0"/>
        <w:snapToGrid w:val="0"/>
        <w:spacing w:line="360" w:lineRule="auto"/>
        <w:rPr>
          <w:rFonts w:ascii="宋体" w:hAnsi="宋体"/>
          <w:color w:val="auto"/>
          <w:sz w:val="24"/>
          <w:highlight w:val="none"/>
        </w:rPr>
      </w:pPr>
      <w:r>
        <w:rPr>
          <w:rFonts w:hint="eastAsia" w:ascii="宋体" w:hAnsi="宋体"/>
          <w:color w:val="auto"/>
          <w:sz w:val="24"/>
          <w:highlight w:val="none"/>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pPr>
        <w:numPr>
          <w:ilvl w:val="1"/>
          <w:numId w:val="56"/>
        </w:numPr>
        <w:autoSpaceDE w:val="0"/>
        <w:autoSpaceDN w:val="0"/>
        <w:snapToGrid w:val="0"/>
        <w:spacing w:line="360" w:lineRule="auto"/>
        <w:rPr>
          <w:rFonts w:ascii="宋体" w:hAnsi="宋体"/>
          <w:color w:val="auto"/>
          <w:sz w:val="24"/>
          <w:highlight w:val="none"/>
        </w:rPr>
      </w:pPr>
      <w:r>
        <w:rPr>
          <w:rFonts w:hint="eastAsia" w:ascii="宋体" w:hAnsi="宋体"/>
          <w:color w:val="auto"/>
          <w:sz w:val="24"/>
          <w:highlight w:val="none"/>
        </w:rPr>
        <w:t>进口产品是指通过中国海关报关验放进入中国境内且产自关境外的产品</w:t>
      </w:r>
      <w:bookmarkStart w:id="28" w:name="_Toc211763038"/>
      <w:r>
        <w:rPr>
          <w:rFonts w:hint="eastAsia" w:ascii="宋体" w:hAnsi="宋体"/>
          <w:color w:val="auto"/>
          <w:sz w:val="24"/>
          <w:highlight w:val="none"/>
        </w:rPr>
        <w:t>。依据《政府采购进口产品管理办法</w:t>
      </w:r>
      <w:bookmarkEnd w:id="28"/>
      <w:r>
        <w:rPr>
          <w:rFonts w:hint="eastAsia" w:ascii="宋体" w:hAnsi="宋体"/>
          <w:color w:val="auto"/>
          <w:sz w:val="24"/>
          <w:highlight w:val="none"/>
        </w:rPr>
        <w:t>》优先采购向我国企业转让技术、与我国企业签订消化吸收再创新方案的供应商的进口产品。</w:t>
      </w:r>
    </w:p>
    <w:p>
      <w:pPr>
        <w:numPr>
          <w:ilvl w:val="0"/>
          <w:numId w:val="56"/>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投标费用</w:t>
      </w:r>
    </w:p>
    <w:p>
      <w:pPr>
        <w:numPr>
          <w:ilvl w:val="1"/>
          <w:numId w:val="56"/>
        </w:numPr>
        <w:autoSpaceDE w:val="0"/>
        <w:autoSpaceDN w:val="0"/>
        <w:snapToGrid w:val="0"/>
        <w:spacing w:line="360" w:lineRule="auto"/>
        <w:rPr>
          <w:rFonts w:ascii="宋体" w:hAnsi="宋体" w:cs="黑体"/>
          <w:b/>
          <w:bCs/>
          <w:color w:val="auto"/>
          <w:sz w:val="24"/>
          <w:highlight w:val="none"/>
        </w:rPr>
      </w:pPr>
      <w:r>
        <w:rPr>
          <w:rFonts w:hint="eastAsia" w:ascii="宋体" w:hAnsi="宋体" w:cs="宋体"/>
          <w:color w:val="auto"/>
          <w:sz w:val="24"/>
          <w:highlight w:val="none"/>
          <w:lang w:eastAsia="zh-TW"/>
        </w:rPr>
        <w:t>投标人应承担所有与准备和参加投标有关的费用。不论投标的结果如何</w:t>
      </w:r>
      <w:r>
        <w:rPr>
          <w:rFonts w:hint="eastAsia" w:ascii="宋体" w:hAnsi="宋体" w:cs="宋体"/>
          <w:color w:val="auto"/>
          <w:sz w:val="24"/>
          <w:highlight w:val="none"/>
        </w:rPr>
        <w:t>，本招标文件中所述的</w:t>
      </w:r>
      <w:r>
        <w:rPr>
          <w:rFonts w:hint="eastAsia" w:ascii="宋体" w:hAnsi="宋体" w:cs="宋体"/>
          <w:color w:val="auto"/>
          <w:sz w:val="24"/>
          <w:highlight w:val="none"/>
          <w:lang w:eastAsia="zh-TW"/>
        </w:rPr>
        <w:t>采购人或者采购代理机构均无义务和责任承担这些费用</w:t>
      </w:r>
      <w:r>
        <w:rPr>
          <w:rFonts w:hint="eastAsia" w:ascii="宋体" w:hAnsi="宋体" w:cs="宋体"/>
          <w:color w:val="auto"/>
          <w:sz w:val="24"/>
          <w:highlight w:val="none"/>
        </w:rPr>
        <w:t>。</w:t>
      </w:r>
    </w:p>
    <w:p>
      <w:pPr>
        <w:numPr>
          <w:ilvl w:val="0"/>
          <w:numId w:val="56"/>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其他</w:t>
      </w:r>
    </w:p>
    <w:p>
      <w:pPr>
        <w:numPr>
          <w:ilvl w:val="1"/>
          <w:numId w:val="56"/>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所有时间均为24小时制北京时间，所有货币单位均为人民币元，所使用的计量单位均以《中华人民共和国法定计量单位》为准（特别注明除外）</w:t>
      </w:r>
      <w:r>
        <w:rPr>
          <w:rFonts w:hint="eastAsia" w:ascii="宋体" w:hAnsi="宋体" w:cs="宋体"/>
          <w:color w:val="auto"/>
          <w:sz w:val="24"/>
          <w:highlight w:val="none"/>
        </w:rPr>
        <w:t>。</w:t>
      </w:r>
    </w:p>
    <w:p>
      <w:pPr>
        <w:numPr>
          <w:ilvl w:val="1"/>
          <w:numId w:val="56"/>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供应商（投标人）向</w:t>
      </w:r>
      <w:r>
        <w:rPr>
          <w:rFonts w:hint="eastAsia" w:ascii="宋体" w:hAnsi="宋体" w:cs="宋体"/>
          <w:color w:val="auto"/>
          <w:sz w:val="24"/>
          <w:highlight w:val="none"/>
        </w:rPr>
        <w:t>本招标文件中所述的</w:t>
      </w:r>
      <w:r>
        <w:rPr>
          <w:rFonts w:hint="eastAsia" w:ascii="宋体" w:hAnsi="宋体" w:cs="宋体"/>
          <w:color w:val="auto"/>
          <w:sz w:val="24"/>
          <w:highlight w:val="none"/>
          <w:lang w:eastAsia="zh-TW"/>
        </w:rPr>
        <w:t>采购代理机构咨询的有关</w:t>
      </w:r>
      <w:r>
        <w:rPr>
          <w:rFonts w:hint="eastAsia" w:ascii="宋体" w:hAnsi="宋体" w:cs="宋体"/>
          <w:color w:val="auto"/>
          <w:sz w:val="24"/>
          <w:highlight w:val="none"/>
        </w:rPr>
        <w:t>本招标</w:t>
      </w:r>
      <w:r>
        <w:rPr>
          <w:rFonts w:hint="eastAsia" w:ascii="宋体" w:hAnsi="宋体" w:cs="宋体"/>
          <w:color w:val="auto"/>
          <w:sz w:val="24"/>
          <w:highlight w:val="none"/>
          <w:lang w:eastAsia="zh-TW"/>
        </w:rPr>
        <w:t>项目事项，一切以法律法规的规定和本公司书面</w:t>
      </w:r>
      <w:r>
        <w:rPr>
          <w:rFonts w:hint="eastAsia" w:ascii="宋体" w:hAnsi="宋体" w:cs="宋体"/>
          <w:color w:val="auto"/>
          <w:sz w:val="24"/>
          <w:highlight w:val="none"/>
        </w:rPr>
        <w:t>答复</w:t>
      </w:r>
      <w:r>
        <w:rPr>
          <w:rFonts w:hint="eastAsia" w:ascii="宋体" w:hAnsi="宋体" w:cs="宋体"/>
          <w:color w:val="auto"/>
          <w:sz w:val="24"/>
          <w:highlight w:val="none"/>
          <w:lang w:eastAsia="zh-TW"/>
        </w:rPr>
        <w:t>为准，其他一切形式均为个人意见，不代表本公司的意见。</w:t>
      </w:r>
    </w:p>
    <w:p>
      <w:pPr>
        <w:numPr>
          <w:ilvl w:val="0"/>
          <w:numId w:val="55"/>
        </w:numPr>
        <w:tabs>
          <w:tab w:val="left" w:pos="4395"/>
        </w:tabs>
        <w:autoSpaceDE w:val="0"/>
        <w:autoSpaceDN w:val="0"/>
        <w:snapToGrid w:val="0"/>
        <w:spacing w:line="360" w:lineRule="auto"/>
        <w:ind w:hanging="5399"/>
        <w:jc w:val="center"/>
        <w:outlineLvl w:val="2"/>
        <w:rPr>
          <w:rFonts w:ascii="宋体" w:hAnsi="宋体"/>
          <w:b/>
          <w:color w:val="auto"/>
          <w:sz w:val="28"/>
          <w:szCs w:val="28"/>
          <w:highlight w:val="none"/>
          <w:lang w:eastAsia="zh-TW"/>
        </w:rPr>
      </w:pPr>
      <w:bookmarkStart w:id="29" w:name="_Toc435174934"/>
      <w:bookmarkStart w:id="30" w:name="_Toc438223137"/>
      <w:bookmarkStart w:id="31" w:name="_Toc26327"/>
      <w:bookmarkStart w:id="32" w:name="_Toc435516651"/>
      <w:r>
        <w:rPr>
          <w:rFonts w:hint="eastAsia" w:ascii="宋体" w:hAnsi="宋体"/>
          <w:b/>
          <w:color w:val="auto"/>
          <w:sz w:val="28"/>
          <w:szCs w:val="28"/>
          <w:highlight w:val="none"/>
          <w:lang w:eastAsia="zh-TW"/>
        </w:rPr>
        <w:t>招标文件</w:t>
      </w:r>
      <w:bookmarkEnd w:id="29"/>
      <w:bookmarkEnd w:id="30"/>
      <w:bookmarkEnd w:id="31"/>
      <w:bookmarkEnd w:id="32"/>
    </w:p>
    <w:p>
      <w:pPr>
        <w:numPr>
          <w:ilvl w:val="0"/>
          <w:numId w:val="57"/>
        </w:numPr>
        <w:autoSpaceDE w:val="0"/>
        <w:autoSpaceDN w:val="0"/>
        <w:snapToGrid w:val="0"/>
        <w:spacing w:line="360" w:lineRule="auto"/>
        <w:outlineLvl w:val="3"/>
        <w:rPr>
          <w:rFonts w:ascii="宋体" w:hAnsi="宋体"/>
          <w:b/>
          <w:bCs/>
          <w:color w:val="auto"/>
          <w:sz w:val="24"/>
          <w:highlight w:val="none"/>
        </w:rPr>
      </w:pPr>
      <w:r>
        <w:rPr>
          <w:rFonts w:hint="eastAsia" w:ascii="宋体" w:hAnsi="宋体"/>
          <w:b/>
          <w:bCs/>
          <w:color w:val="auto"/>
          <w:sz w:val="24"/>
          <w:highlight w:val="none"/>
        </w:rPr>
        <w:t>招标文件的编制依据与构成</w:t>
      </w:r>
    </w:p>
    <w:p>
      <w:pPr>
        <w:numPr>
          <w:ilvl w:val="1"/>
          <w:numId w:val="57"/>
        </w:numPr>
        <w:autoSpaceDE w:val="0"/>
        <w:autoSpaceDN w:val="0"/>
        <w:snapToGrid w:val="0"/>
        <w:spacing w:line="360" w:lineRule="auto"/>
        <w:rPr>
          <w:rFonts w:ascii="宋体" w:hAnsi="宋体"/>
          <w:color w:val="auto"/>
          <w:sz w:val="24"/>
          <w:highlight w:val="none"/>
        </w:rPr>
      </w:pPr>
      <w:r>
        <w:rPr>
          <w:rFonts w:hint="eastAsia" w:ascii="宋体" w:hAnsi="宋体"/>
          <w:color w:val="auto"/>
          <w:sz w:val="24"/>
          <w:highlight w:val="none"/>
        </w:rPr>
        <w:t>本招标文件的编制依据是《中华人民共和国政府采购法》</w:t>
      </w:r>
      <w:r>
        <w:rPr>
          <w:rFonts w:hint="eastAsia"/>
          <w:color w:val="auto"/>
          <w:highlight w:val="none"/>
        </w:rPr>
        <w:t>《</w:t>
      </w:r>
      <w:r>
        <w:rPr>
          <w:rFonts w:hint="eastAsia" w:ascii="宋体" w:hAnsi="宋体"/>
          <w:color w:val="auto"/>
          <w:sz w:val="24"/>
          <w:highlight w:val="none"/>
        </w:rPr>
        <w:t>中华人民共和国政府采购法实施条例</w:t>
      </w:r>
      <w:r>
        <w:rPr>
          <w:rFonts w:hint="eastAsia"/>
          <w:color w:val="auto"/>
          <w:highlight w:val="none"/>
        </w:rPr>
        <w:t>》</w:t>
      </w:r>
      <w:r>
        <w:rPr>
          <w:rFonts w:hint="eastAsia" w:ascii="宋体" w:hAnsi="宋体"/>
          <w:color w:val="auto"/>
          <w:sz w:val="24"/>
          <w:highlight w:val="none"/>
        </w:rPr>
        <w:t>《政府采购货物和服务招标投标管理办法》《</w:t>
      </w:r>
      <w:r>
        <w:rPr>
          <w:rFonts w:ascii="宋体" w:hAnsi="宋体"/>
          <w:color w:val="auto"/>
          <w:sz w:val="24"/>
          <w:highlight w:val="none"/>
        </w:rPr>
        <w:t>政府购买服务管理办法</w:t>
      </w:r>
      <w:r>
        <w:rPr>
          <w:rFonts w:hint="eastAsia" w:ascii="宋体" w:hAnsi="宋体"/>
          <w:color w:val="auto"/>
          <w:sz w:val="24"/>
          <w:highlight w:val="none"/>
        </w:rPr>
        <w:t>》及其配套的法规、规章、政策等。</w:t>
      </w:r>
    </w:p>
    <w:p>
      <w:pPr>
        <w:numPr>
          <w:ilvl w:val="1"/>
          <w:numId w:val="57"/>
        </w:numPr>
        <w:autoSpaceDE w:val="0"/>
        <w:autoSpaceDN w:val="0"/>
        <w:snapToGrid w:val="0"/>
        <w:spacing w:line="360" w:lineRule="auto"/>
        <w:rPr>
          <w:rFonts w:ascii="宋体" w:hAnsi="宋体"/>
          <w:color w:val="auto"/>
          <w:sz w:val="24"/>
          <w:highlight w:val="none"/>
        </w:rPr>
      </w:pPr>
      <w:r>
        <w:rPr>
          <w:rFonts w:hint="eastAsia" w:ascii="宋体" w:hAnsi="宋体" w:cs="宋体"/>
          <w:color w:val="auto"/>
          <w:sz w:val="24"/>
          <w:highlight w:val="none"/>
          <w:lang w:eastAsia="zh-TW"/>
        </w:rPr>
        <w:t>招标文件以中文文字编写。招标文件共</w:t>
      </w:r>
      <w:r>
        <w:rPr>
          <w:rFonts w:hint="eastAsia" w:ascii="宋体" w:hAnsi="宋体" w:cs="宋体"/>
          <w:color w:val="auto"/>
          <w:sz w:val="24"/>
          <w:highlight w:val="none"/>
        </w:rPr>
        <w:t>六</w:t>
      </w:r>
      <w:r>
        <w:rPr>
          <w:rFonts w:hint="eastAsia" w:ascii="宋体" w:hAnsi="宋体" w:cs="宋体"/>
          <w:color w:val="auto"/>
          <w:sz w:val="24"/>
          <w:highlight w:val="none"/>
          <w:lang w:eastAsia="zh-TW"/>
        </w:rPr>
        <w:t>章。</w:t>
      </w:r>
      <w:r>
        <w:rPr>
          <w:rFonts w:hint="eastAsia" w:ascii="宋体" w:hAnsi="宋体" w:cs="宋体"/>
          <w:color w:val="auto"/>
          <w:sz w:val="24"/>
          <w:highlight w:val="none"/>
        </w:rPr>
        <w:t>由下列文件以及在招标过程中发出的招标答疑和澄清或修改文件组成，</w:t>
      </w:r>
      <w:r>
        <w:rPr>
          <w:rFonts w:hint="eastAsia" w:ascii="宋体" w:hAnsi="宋体" w:cs="宋体"/>
          <w:color w:val="auto"/>
          <w:sz w:val="24"/>
          <w:highlight w:val="none"/>
          <w:lang w:eastAsia="zh-TW"/>
        </w:rPr>
        <w:t>内容如下</w:t>
      </w:r>
      <w:r>
        <w:rPr>
          <w:rFonts w:hint="eastAsia" w:ascii="宋体" w:hAnsi="宋体" w:cs="宋体"/>
          <w:color w:val="auto"/>
          <w:sz w:val="24"/>
          <w:highlight w:val="none"/>
        </w:rPr>
        <w:t>：</w:t>
      </w:r>
    </w:p>
    <w:p>
      <w:pPr>
        <w:snapToGrid w:val="0"/>
        <w:spacing w:line="360" w:lineRule="auto"/>
        <w:ind w:left="424" w:leftChars="212" w:firstLine="1"/>
        <w:rPr>
          <w:rFonts w:ascii="宋体" w:hAnsi="宋体"/>
          <w:b/>
          <w:color w:val="auto"/>
          <w:sz w:val="24"/>
          <w:highlight w:val="none"/>
        </w:rPr>
      </w:pPr>
      <w:r>
        <w:rPr>
          <w:rFonts w:hint="eastAsia" w:ascii="宋体" w:hAnsi="宋体" w:cs="宋体"/>
          <w:b/>
          <w:color w:val="auto"/>
          <w:sz w:val="24"/>
          <w:highlight w:val="none"/>
          <w:lang w:eastAsia="zh-TW"/>
        </w:rPr>
        <w:t>第一章</w:t>
      </w:r>
      <w:r>
        <w:rPr>
          <w:rFonts w:hint="eastAsia" w:ascii="宋体" w:hAnsi="宋体" w:cs="宋体"/>
          <w:b/>
          <w:color w:val="auto"/>
          <w:sz w:val="24"/>
          <w:highlight w:val="none"/>
        </w:rPr>
        <w:t>　</w:t>
      </w:r>
      <w:r>
        <w:rPr>
          <w:rFonts w:hint="eastAsia" w:ascii="宋体" w:hAnsi="宋体" w:cs="宋体"/>
          <w:b/>
          <w:color w:val="auto"/>
          <w:sz w:val="24"/>
          <w:highlight w:val="none"/>
          <w:lang w:eastAsia="zh-TW"/>
        </w:rPr>
        <w:t>投标邀请</w:t>
      </w:r>
    </w:p>
    <w:p>
      <w:pPr>
        <w:snapToGrid w:val="0"/>
        <w:spacing w:line="360" w:lineRule="auto"/>
        <w:ind w:left="424" w:leftChars="212" w:firstLine="1"/>
        <w:rPr>
          <w:rFonts w:ascii="宋体" w:hAnsi="宋体"/>
          <w:b/>
          <w:color w:val="auto"/>
          <w:sz w:val="24"/>
          <w:highlight w:val="none"/>
        </w:rPr>
      </w:pPr>
      <w:r>
        <w:rPr>
          <w:rFonts w:hint="eastAsia" w:ascii="宋体" w:hAnsi="宋体" w:cs="宋体"/>
          <w:b/>
          <w:color w:val="auto"/>
          <w:sz w:val="24"/>
          <w:highlight w:val="none"/>
          <w:lang w:eastAsia="zh-TW"/>
        </w:rPr>
        <w:t>第二章</w:t>
      </w:r>
      <w:r>
        <w:rPr>
          <w:rFonts w:hint="eastAsia" w:ascii="宋体" w:hAnsi="宋体" w:cs="宋体"/>
          <w:b/>
          <w:color w:val="auto"/>
          <w:sz w:val="24"/>
          <w:highlight w:val="none"/>
        </w:rPr>
        <w:t>　采购需求</w:t>
      </w:r>
    </w:p>
    <w:p>
      <w:pPr>
        <w:tabs>
          <w:tab w:val="left" w:pos="3915"/>
        </w:tabs>
        <w:snapToGrid w:val="0"/>
        <w:spacing w:line="360" w:lineRule="auto"/>
        <w:ind w:left="424" w:leftChars="212" w:firstLine="1"/>
        <w:rPr>
          <w:rFonts w:ascii="宋体" w:hAnsi="宋体" w:cs="宋体"/>
          <w:b/>
          <w:color w:val="auto"/>
          <w:sz w:val="24"/>
          <w:highlight w:val="none"/>
        </w:rPr>
      </w:pPr>
      <w:r>
        <w:rPr>
          <w:rFonts w:hint="eastAsia" w:ascii="宋体" w:hAnsi="宋体" w:cs="宋体"/>
          <w:b/>
          <w:color w:val="auto"/>
          <w:sz w:val="24"/>
          <w:highlight w:val="none"/>
        </w:rPr>
        <w:t>第三章　评标方法和标准</w:t>
      </w:r>
    </w:p>
    <w:p>
      <w:pPr>
        <w:snapToGrid w:val="0"/>
        <w:spacing w:line="360" w:lineRule="auto"/>
        <w:ind w:left="424" w:leftChars="212" w:firstLine="1"/>
        <w:rPr>
          <w:rFonts w:ascii="宋体" w:hAnsi="宋体"/>
          <w:b/>
          <w:color w:val="auto"/>
          <w:sz w:val="24"/>
          <w:highlight w:val="none"/>
        </w:rPr>
      </w:pPr>
      <w:r>
        <w:rPr>
          <w:rFonts w:hint="eastAsia" w:ascii="宋体" w:hAnsi="宋体" w:cs="宋体"/>
          <w:b/>
          <w:color w:val="auto"/>
          <w:sz w:val="24"/>
          <w:highlight w:val="none"/>
          <w:lang w:eastAsia="zh-TW"/>
        </w:rPr>
        <w:t>第</w:t>
      </w:r>
      <w:r>
        <w:rPr>
          <w:rFonts w:hint="eastAsia" w:ascii="宋体" w:hAnsi="宋体" w:cs="宋体"/>
          <w:b/>
          <w:color w:val="auto"/>
          <w:sz w:val="24"/>
          <w:highlight w:val="none"/>
        </w:rPr>
        <w:t>四</w:t>
      </w:r>
      <w:r>
        <w:rPr>
          <w:rFonts w:hint="eastAsia" w:ascii="宋体" w:hAnsi="宋体" w:cs="宋体"/>
          <w:b/>
          <w:color w:val="auto"/>
          <w:sz w:val="24"/>
          <w:highlight w:val="none"/>
          <w:lang w:eastAsia="zh-TW"/>
        </w:rPr>
        <w:t>章</w:t>
      </w:r>
      <w:r>
        <w:rPr>
          <w:rFonts w:hint="eastAsia" w:ascii="宋体" w:hAnsi="宋体" w:cs="宋体"/>
          <w:b/>
          <w:color w:val="auto"/>
          <w:sz w:val="24"/>
          <w:highlight w:val="none"/>
        </w:rPr>
        <w:t>　</w:t>
      </w:r>
      <w:r>
        <w:rPr>
          <w:rFonts w:hint="eastAsia" w:ascii="宋体" w:hAnsi="宋体" w:cs="宋体"/>
          <w:b/>
          <w:color w:val="auto"/>
          <w:sz w:val="24"/>
          <w:highlight w:val="none"/>
          <w:lang w:eastAsia="zh-TW"/>
        </w:rPr>
        <w:t>投标人须知</w:t>
      </w:r>
    </w:p>
    <w:p>
      <w:pPr>
        <w:snapToGrid w:val="0"/>
        <w:spacing w:line="360" w:lineRule="auto"/>
        <w:ind w:left="424" w:leftChars="212" w:firstLine="1"/>
        <w:rPr>
          <w:rFonts w:ascii="宋体" w:hAnsi="宋体"/>
          <w:b/>
          <w:color w:val="auto"/>
          <w:sz w:val="24"/>
          <w:highlight w:val="none"/>
        </w:rPr>
      </w:pPr>
      <w:r>
        <w:rPr>
          <w:rFonts w:hint="eastAsia" w:ascii="宋体" w:hAnsi="宋体" w:cs="宋体"/>
          <w:b/>
          <w:color w:val="auto"/>
          <w:sz w:val="24"/>
          <w:highlight w:val="none"/>
          <w:lang w:eastAsia="zh-TW"/>
        </w:rPr>
        <w:t>第</w:t>
      </w:r>
      <w:r>
        <w:rPr>
          <w:rFonts w:hint="eastAsia" w:ascii="宋体" w:hAnsi="宋体" w:cs="宋体"/>
          <w:b/>
          <w:color w:val="auto"/>
          <w:sz w:val="24"/>
          <w:highlight w:val="none"/>
        </w:rPr>
        <w:t>五</w:t>
      </w:r>
      <w:r>
        <w:rPr>
          <w:rFonts w:hint="eastAsia" w:ascii="宋体" w:hAnsi="宋体" w:cs="宋体"/>
          <w:b/>
          <w:color w:val="auto"/>
          <w:sz w:val="24"/>
          <w:highlight w:val="none"/>
          <w:lang w:eastAsia="zh-TW"/>
        </w:rPr>
        <w:t>章</w:t>
      </w:r>
      <w:r>
        <w:rPr>
          <w:rFonts w:hint="eastAsia" w:ascii="宋体" w:hAnsi="宋体" w:cs="宋体"/>
          <w:b/>
          <w:color w:val="auto"/>
          <w:sz w:val="24"/>
          <w:highlight w:val="none"/>
        </w:rPr>
        <w:t>　</w:t>
      </w:r>
      <w:r>
        <w:rPr>
          <w:rFonts w:hint="eastAsia" w:ascii="宋体" w:hAnsi="宋体" w:cs="宋体"/>
          <w:b/>
          <w:color w:val="auto"/>
          <w:sz w:val="24"/>
          <w:highlight w:val="none"/>
          <w:lang w:eastAsia="zh-TW"/>
        </w:rPr>
        <w:t>合同</w:t>
      </w:r>
      <w:r>
        <w:rPr>
          <w:rFonts w:hint="eastAsia" w:ascii="宋体" w:hAnsi="宋体" w:cs="宋体"/>
          <w:b/>
          <w:color w:val="auto"/>
          <w:sz w:val="24"/>
          <w:highlight w:val="none"/>
        </w:rPr>
        <w:t>格式条款</w:t>
      </w:r>
    </w:p>
    <w:p>
      <w:pPr>
        <w:snapToGrid w:val="0"/>
        <w:spacing w:line="360" w:lineRule="auto"/>
        <w:ind w:left="424" w:leftChars="212" w:firstLine="1"/>
        <w:rPr>
          <w:rFonts w:ascii="宋体" w:hAnsi="宋体" w:cs="宋体"/>
          <w:b/>
          <w:color w:val="auto"/>
          <w:sz w:val="24"/>
          <w:highlight w:val="none"/>
        </w:rPr>
      </w:pPr>
      <w:r>
        <w:rPr>
          <w:rFonts w:hint="eastAsia" w:ascii="宋体" w:hAnsi="宋体" w:cs="宋体"/>
          <w:b/>
          <w:color w:val="auto"/>
          <w:sz w:val="24"/>
          <w:highlight w:val="none"/>
          <w:lang w:eastAsia="zh-TW"/>
        </w:rPr>
        <w:t>第</w:t>
      </w:r>
      <w:r>
        <w:rPr>
          <w:rFonts w:hint="eastAsia" w:ascii="宋体" w:hAnsi="宋体" w:cs="宋体"/>
          <w:b/>
          <w:color w:val="auto"/>
          <w:sz w:val="24"/>
          <w:highlight w:val="none"/>
        </w:rPr>
        <w:t>六</w:t>
      </w:r>
      <w:r>
        <w:rPr>
          <w:rFonts w:hint="eastAsia" w:ascii="宋体" w:hAnsi="宋体" w:cs="宋体"/>
          <w:b/>
          <w:color w:val="auto"/>
          <w:sz w:val="24"/>
          <w:highlight w:val="none"/>
          <w:lang w:eastAsia="zh-TW"/>
        </w:rPr>
        <w:t>章</w:t>
      </w:r>
      <w:r>
        <w:rPr>
          <w:rFonts w:hint="eastAsia" w:ascii="宋体" w:hAnsi="宋体" w:cs="宋体"/>
          <w:b/>
          <w:color w:val="auto"/>
          <w:sz w:val="24"/>
          <w:highlight w:val="none"/>
        </w:rPr>
        <w:t>　投标文件格式</w:t>
      </w:r>
    </w:p>
    <w:p>
      <w:pPr>
        <w:numPr>
          <w:ilvl w:val="1"/>
          <w:numId w:val="57"/>
        </w:numPr>
        <w:autoSpaceDE w:val="0"/>
        <w:autoSpaceDN w:val="0"/>
        <w:snapToGrid w:val="0"/>
        <w:spacing w:line="360" w:lineRule="auto"/>
        <w:jc w:val="left"/>
        <w:rPr>
          <w:rFonts w:ascii="宋体" w:hAnsi="宋体" w:cs="宋体"/>
          <w:color w:val="auto"/>
          <w:sz w:val="24"/>
          <w:highlight w:val="none"/>
          <w:lang w:eastAsia="zh-TW"/>
        </w:rPr>
      </w:pPr>
      <w:r>
        <w:rPr>
          <w:rFonts w:hint="eastAsia" w:ascii="宋体" w:hAnsi="宋体" w:cs="宋体"/>
          <w:color w:val="auto"/>
          <w:sz w:val="24"/>
          <w:highlight w:val="none"/>
        </w:rPr>
        <w:t>本</w:t>
      </w:r>
      <w:r>
        <w:rPr>
          <w:rFonts w:hint="eastAsia" w:ascii="宋体" w:hAnsi="宋体" w:cs="宋体"/>
          <w:color w:val="auto"/>
          <w:sz w:val="24"/>
          <w:highlight w:val="none"/>
          <w:lang w:eastAsia="zh-TW"/>
        </w:rPr>
        <w:t>招标文件的解释权归</w:t>
      </w:r>
      <w:r>
        <w:rPr>
          <w:rFonts w:hint="eastAsia" w:ascii="宋体" w:hAnsi="宋体" w:cs="宋体"/>
          <w:color w:val="auto"/>
          <w:sz w:val="24"/>
          <w:highlight w:val="none"/>
        </w:rPr>
        <w:t>本招标文件中所述的</w:t>
      </w:r>
      <w:r>
        <w:rPr>
          <w:rFonts w:hint="eastAsia" w:ascii="宋体" w:hAnsi="宋体" w:cs="宋体"/>
          <w:color w:val="auto"/>
          <w:sz w:val="24"/>
          <w:highlight w:val="none"/>
          <w:lang w:eastAsia="zh-TW"/>
        </w:rPr>
        <w:t>采购人</w:t>
      </w:r>
      <w:r>
        <w:rPr>
          <w:rFonts w:hint="eastAsia" w:ascii="宋体" w:hAnsi="宋体" w:cs="宋体"/>
          <w:color w:val="auto"/>
          <w:sz w:val="24"/>
          <w:highlight w:val="none"/>
        </w:rPr>
        <w:t>、</w:t>
      </w:r>
      <w:r>
        <w:rPr>
          <w:rFonts w:hint="eastAsia" w:ascii="宋体" w:hAnsi="宋体" w:cs="宋体"/>
          <w:color w:val="auto"/>
          <w:sz w:val="24"/>
          <w:highlight w:val="none"/>
          <w:lang w:eastAsia="zh-TW"/>
        </w:rPr>
        <w:t>采购代理机构所有。</w:t>
      </w:r>
    </w:p>
    <w:p>
      <w:pPr>
        <w:numPr>
          <w:ilvl w:val="0"/>
          <w:numId w:val="57"/>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招标文件的澄清或修改</w:t>
      </w:r>
    </w:p>
    <w:p>
      <w:pPr>
        <w:numPr>
          <w:ilvl w:val="1"/>
          <w:numId w:val="57"/>
        </w:numPr>
        <w:autoSpaceDE w:val="0"/>
        <w:autoSpaceDN w:val="0"/>
        <w:snapToGrid w:val="0"/>
        <w:spacing w:line="360" w:lineRule="auto"/>
        <w:rPr>
          <w:rFonts w:ascii="宋体" w:hAnsi="宋体" w:cs="宋体"/>
          <w:color w:val="auto"/>
          <w:sz w:val="24"/>
          <w:highlight w:val="none"/>
        </w:rPr>
      </w:pPr>
      <w:r>
        <w:rPr>
          <w:rFonts w:hint="eastAsia" w:ascii="宋体" w:hAnsi="宋体" w:cs="宋体"/>
          <w:color w:val="auto"/>
          <w:sz w:val="24"/>
          <w:highlight w:val="none"/>
          <w:lang w:eastAsia="zh-TW"/>
        </w:rPr>
        <w:t>采购人或者采购代理机构可以对已发出的招标文件进行必要的澄清或修改。</w:t>
      </w:r>
      <w:r>
        <w:rPr>
          <w:rFonts w:hint="eastAsia" w:ascii="宋体" w:hAnsi="宋体"/>
          <w:color w:val="auto"/>
          <w:sz w:val="24"/>
          <w:highlight w:val="none"/>
        </w:rPr>
        <w:t>招标文件的澄清或修改均以</w:t>
      </w:r>
      <w:r>
        <w:rPr>
          <w:rFonts w:hint="eastAsia" w:ascii="宋体" w:hAnsi="宋体" w:cs="宋体"/>
          <w:color w:val="auto"/>
          <w:sz w:val="24"/>
          <w:highlight w:val="none"/>
        </w:rPr>
        <w:t>书面形式明确的内容为准。当招标文件的澄清、修改、补充等在同一内容的表述不一致时，以最后发出的书面形式的文件为准。</w:t>
      </w:r>
    </w:p>
    <w:p>
      <w:pPr>
        <w:numPr>
          <w:ilvl w:val="1"/>
          <w:numId w:val="57"/>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pPr>
        <w:numPr>
          <w:ilvl w:val="1"/>
          <w:numId w:val="57"/>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澄清</w:t>
      </w:r>
      <w:r>
        <w:rPr>
          <w:rFonts w:hint="eastAsia" w:ascii="宋体" w:hAnsi="宋体"/>
          <w:color w:val="auto"/>
          <w:sz w:val="24"/>
          <w:highlight w:val="none"/>
        </w:rPr>
        <w:t>（更正/变更）</w:t>
      </w:r>
      <w:r>
        <w:rPr>
          <w:rFonts w:hint="eastAsia" w:ascii="宋体" w:hAnsi="宋体" w:cs="宋体"/>
          <w:color w:val="auto"/>
          <w:sz w:val="24"/>
          <w:highlight w:val="none"/>
          <w:lang w:eastAsia="zh-TW"/>
        </w:rPr>
        <w:t>公告</w:t>
      </w:r>
      <w:r>
        <w:rPr>
          <w:rFonts w:hint="eastAsia" w:ascii="宋体" w:hAnsi="宋体" w:cs="宋体"/>
          <w:color w:val="auto"/>
          <w:sz w:val="24"/>
          <w:highlight w:val="none"/>
        </w:rPr>
        <w:t>由江门市公共资源交易中心系统</w:t>
      </w:r>
      <w:r>
        <w:rPr>
          <w:rFonts w:hint="eastAsia" w:ascii="宋体" w:hAnsi="宋体"/>
          <w:color w:val="auto"/>
          <w:sz w:val="24"/>
          <w:highlight w:val="none"/>
        </w:rPr>
        <w:t>通知</w:t>
      </w:r>
      <w:r>
        <w:rPr>
          <w:rFonts w:hint="eastAsia"/>
          <w:bCs/>
          <w:color w:val="auto"/>
          <w:sz w:val="24"/>
          <w:highlight w:val="none"/>
        </w:rPr>
        <w:t>成功报名并下载招标文件</w:t>
      </w:r>
      <w:r>
        <w:rPr>
          <w:rFonts w:hint="eastAsia" w:ascii="宋体" w:hAnsi="宋体"/>
          <w:color w:val="auto"/>
          <w:sz w:val="24"/>
          <w:highlight w:val="none"/>
        </w:rPr>
        <w:t>的供应商，系统推送时间</w:t>
      </w:r>
      <w:r>
        <w:rPr>
          <w:rFonts w:hint="eastAsia" w:ascii="宋体" w:hAnsi="宋体" w:cs="宋体"/>
          <w:color w:val="auto"/>
          <w:sz w:val="24"/>
          <w:highlight w:val="none"/>
          <w:lang w:eastAsia="zh-TW"/>
        </w:rPr>
        <w:t>视为</w:t>
      </w:r>
      <w:r>
        <w:rPr>
          <w:rFonts w:hint="eastAsia"/>
          <w:bCs/>
          <w:color w:val="auto"/>
          <w:sz w:val="24"/>
          <w:highlight w:val="none"/>
        </w:rPr>
        <w:t>报名并下载招标</w:t>
      </w:r>
      <w:r>
        <w:rPr>
          <w:rFonts w:hint="eastAsia" w:ascii="宋体" w:hAnsi="宋体" w:cs="宋体"/>
          <w:color w:val="auto"/>
          <w:sz w:val="24"/>
          <w:highlight w:val="none"/>
        </w:rPr>
        <w:t>文件的供应商</w:t>
      </w:r>
      <w:r>
        <w:rPr>
          <w:rFonts w:hint="eastAsia" w:ascii="宋体" w:hAnsi="宋体" w:cs="宋体"/>
          <w:color w:val="auto"/>
          <w:sz w:val="24"/>
          <w:highlight w:val="none"/>
          <w:lang w:eastAsia="zh-TW"/>
        </w:rPr>
        <w:t>收悉澄清</w:t>
      </w:r>
      <w:r>
        <w:rPr>
          <w:rFonts w:hint="eastAsia" w:ascii="宋体" w:hAnsi="宋体"/>
          <w:color w:val="auto"/>
          <w:sz w:val="24"/>
          <w:highlight w:val="none"/>
        </w:rPr>
        <w:t>（更正/变更）</w:t>
      </w:r>
      <w:r>
        <w:rPr>
          <w:rFonts w:hint="eastAsia" w:ascii="宋体" w:hAnsi="宋体" w:cs="宋体"/>
          <w:color w:val="auto"/>
          <w:sz w:val="24"/>
          <w:highlight w:val="none"/>
          <w:lang w:eastAsia="zh-TW"/>
        </w:rPr>
        <w:t>公告</w:t>
      </w:r>
      <w:r>
        <w:rPr>
          <w:rFonts w:hint="eastAsia" w:ascii="宋体" w:hAnsi="宋体" w:cs="宋体"/>
          <w:color w:val="auto"/>
          <w:sz w:val="24"/>
          <w:highlight w:val="none"/>
        </w:rPr>
        <w:t>时间。</w:t>
      </w:r>
    </w:p>
    <w:p>
      <w:pPr>
        <w:numPr>
          <w:ilvl w:val="1"/>
          <w:numId w:val="57"/>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采购人或者采购代理机构</w:t>
      </w:r>
      <w:r>
        <w:rPr>
          <w:rFonts w:hint="eastAsia" w:ascii="宋体" w:hAnsi="宋体" w:cs="宋体"/>
          <w:color w:val="auto"/>
          <w:sz w:val="24"/>
          <w:highlight w:val="none"/>
        </w:rPr>
        <w:t>发出的</w:t>
      </w:r>
      <w:r>
        <w:rPr>
          <w:rFonts w:hint="eastAsia" w:ascii="宋体" w:hAnsi="宋体"/>
          <w:color w:val="auto"/>
          <w:sz w:val="24"/>
          <w:highlight w:val="none"/>
        </w:rPr>
        <w:t>澄清或修改（更正/变更）的内容为招标文件的组成部分，</w:t>
      </w:r>
      <w:r>
        <w:rPr>
          <w:rFonts w:hint="eastAsia" w:ascii="宋体" w:hAnsi="宋体" w:cs="宋体"/>
          <w:color w:val="auto"/>
          <w:sz w:val="24"/>
          <w:highlight w:val="none"/>
          <w:lang w:eastAsia="zh-TW"/>
        </w:rPr>
        <w:t>并对供应商具有约束力</w:t>
      </w:r>
      <w:r>
        <w:rPr>
          <w:rFonts w:hint="eastAsia" w:ascii="宋体" w:hAnsi="宋体" w:cs="宋体"/>
          <w:color w:val="auto"/>
          <w:sz w:val="24"/>
          <w:highlight w:val="none"/>
        </w:rPr>
        <w:t>。</w:t>
      </w:r>
    </w:p>
    <w:p>
      <w:pPr>
        <w:numPr>
          <w:ilvl w:val="0"/>
          <w:numId w:val="57"/>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现场考察或者召开开标前答疑会</w:t>
      </w:r>
    </w:p>
    <w:p>
      <w:pPr>
        <w:numPr>
          <w:ilvl w:val="1"/>
          <w:numId w:val="57"/>
        </w:numPr>
        <w:tabs>
          <w:tab w:val="left" w:pos="851"/>
        </w:tabs>
        <w:autoSpaceDE w:val="0"/>
        <w:autoSpaceDN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除非</w:t>
      </w:r>
      <w:r>
        <w:rPr>
          <w:rFonts w:hint="eastAsia" w:ascii="宋体" w:hAnsi="宋体" w:cs="黑体"/>
          <w:b/>
          <w:color w:val="auto"/>
          <w:sz w:val="24"/>
          <w:highlight w:val="none"/>
        </w:rPr>
        <w:t>投标人须知前附表</w:t>
      </w:r>
      <w:r>
        <w:rPr>
          <w:rFonts w:hint="eastAsia" w:ascii="宋体" w:hAnsi="宋体" w:cs="宋体"/>
          <w:color w:val="auto"/>
          <w:sz w:val="24"/>
          <w:highlight w:val="none"/>
        </w:rPr>
        <w:t>中另有规定，否则不举行项目</w:t>
      </w:r>
      <w:r>
        <w:rPr>
          <w:rFonts w:hint="eastAsia" w:ascii="宋体" w:hAnsi="宋体"/>
          <w:bCs/>
          <w:color w:val="auto"/>
          <w:sz w:val="24"/>
          <w:highlight w:val="none"/>
        </w:rPr>
        <w:t>现场考察或者召开开标前答疑会</w:t>
      </w:r>
      <w:r>
        <w:rPr>
          <w:rFonts w:hint="eastAsia" w:ascii="宋体" w:hAnsi="宋体" w:cs="宋体"/>
          <w:color w:val="auto"/>
          <w:sz w:val="24"/>
          <w:highlight w:val="none"/>
        </w:rPr>
        <w:t>，如举行</w:t>
      </w:r>
      <w:r>
        <w:rPr>
          <w:rFonts w:hint="eastAsia" w:ascii="宋体" w:hAnsi="宋体"/>
          <w:bCs/>
          <w:color w:val="auto"/>
          <w:sz w:val="24"/>
          <w:highlight w:val="none"/>
        </w:rPr>
        <w:t>现场考察或者召开开标前答疑会</w:t>
      </w:r>
      <w:r>
        <w:rPr>
          <w:rFonts w:hint="eastAsia" w:ascii="宋体" w:hAnsi="宋体" w:cs="宋体"/>
          <w:color w:val="auto"/>
          <w:sz w:val="24"/>
          <w:highlight w:val="none"/>
        </w:rPr>
        <w:t>的，则按以下规定：</w:t>
      </w:r>
    </w:p>
    <w:p>
      <w:pPr>
        <w:numPr>
          <w:ilvl w:val="2"/>
          <w:numId w:val="57"/>
        </w:numPr>
        <w:tabs>
          <w:tab w:val="left" w:pos="851"/>
        </w:tabs>
        <w:autoSpaceDE w:val="0"/>
        <w:autoSpaceDN w:val="0"/>
        <w:snapToGrid w:val="0"/>
        <w:spacing w:line="360" w:lineRule="auto"/>
        <w:rPr>
          <w:rFonts w:ascii="宋体" w:hAnsi="宋体" w:cs="宋体"/>
          <w:color w:val="auto"/>
          <w:sz w:val="24"/>
          <w:highlight w:val="none"/>
        </w:rPr>
      </w:pPr>
      <w:r>
        <w:rPr>
          <w:rFonts w:hint="eastAsia" w:ascii="宋体" w:hAnsi="宋体" w:cs="宋体"/>
          <w:color w:val="auto"/>
          <w:sz w:val="24"/>
          <w:highlight w:val="none"/>
          <w:lang w:eastAsia="zh-TW"/>
        </w:rPr>
        <w:t>在</w:t>
      </w:r>
      <w:r>
        <w:rPr>
          <w:rFonts w:hint="eastAsia" w:ascii="宋体" w:hAnsi="宋体" w:cs="黑体"/>
          <w:b/>
          <w:color w:val="auto"/>
          <w:sz w:val="24"/>
          <w:highlight w:val="none"/>
          <w:lang w:eastAsia="zh-TW"/>
        </w:rPr>
        <w:t>投标人须知前附表</w:t>
      </w:r>
      <w:r>
        <w:rPr>
          <w:rFonts w:hint="eastAsia" w:ascii="宋体" w:hAnsi="宋体" w:cs="宋体"/>
          <w:color w:val="auto"/>
          <w:sz w:val="24"/>
          <w:highlight w:val="none"/>
        </w:rPr>
        <w:t>中规定的日期、时间和地点组织</w:t>
      </w:r>
      <w:r>
        <w:rPr>
          <w:rFonts w:hint="eastAsia" w:ascii="宋体" w:hAnsi="宋体"/>
          <w:bCs/>
          <w:color w:val="auto"/>
          <w:sz w:val="24"/>
          <w:highlight w:val="none"/>
        </w:rPr>
        <w:t>现场考察或者召开开标前答疑会</w:t>
      </w:r>
      <w:r>
        <w:rPr>
          <w:rFonts w:hint="eastAsia" w:ascii="宋体" w:hAnsi="宋体" w:cs="宋体"/>
          <w:color w:val="auto"/>
          <w:sz w:val="24"/>
          <w:highlight w:val="none"/>
        </w:rPr>
        <w:t>；</w:t>
      </w:r>
    </w:p>
    <w:p>
      <w:pPr>
        <w:numPr>
          <w:ilvl w:val="2"/>
          <w:numId w:val="57"/>
        </w:numPr>
        <w:tabs>
          <w:tab w:val="left" w:pos="851"/>
        </w:tabs>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rPr>
        <w:t>供应商</w:t>
      </w:r>
      <w:r>
        <w:rPr>
          <w:rFonts w:hint="eastAsia" w:ascii="宋体" w:hAnsi="宋体" w:cs="宋体"/>
          <w:color w:val="auto"/>
          <w:sz w:val="24"/>
          <w:highlight w:val="none"/>
          <w:lang w:eastAsia="zh-TW"/>
        </w:rPr>
        <w:t>对本项目提出的疑问，</w:t>
      </w:r>
      <w:r>
        <w:rPr>
          <w:rFonts w:hint="eastAsia" w:ascii="宋体" w:hAnsi="宋体" w:cs="宋体"/>
          <w:color w:val="auto"/>
          <w:sz w:val="24"/>
          <w:highlight w:val="none"/>
        </w:rPr>
        <w:t>可</w:t>
      </w:r>
      <w:r>
        <w:rPr>
          <w:rFonts w:hint="eastAsia" w:ascii="宋体" w:hAnsi="宋体" w:cs="宋体"/>
          <w:color w:val="auto"/>
          <w:sz w:val="24"/>
          <w:highlight w:val="none"/>
          <w:lang w:eastAsia="zh-TW"/>
        </w:rPr>
        <w:t>在</w:t>
      </w:r>
      <w:r>
        <w:rPr>
          <w:rFonts w:hint="eastAsia" w:ascii="宋体" w:hAnsi="宋体"/>
          <w:bCs/>
          <w:color w:val="auto"/>
          <w:sz w:val="24"/>
          <w:highlight w:val="none"/>
        </w:rPr>
        <w:t>现场考察或者召开开标前答疑会</w:t>
      </w:r>
      <w:r>
        <w:rPr>
          <w:rFonts w:hint="eastAsia" w:ascii="宋体" w:hAnsi="宋体" w:cs="宋体"/>
          <w:color w:val="auto"/>
          <w:sz w:val="24"/>
          <w:highlight w:val="none"/>
          <w:lang w:eastAsia="zh-TW"/>
        </w:rPr>
        <w:t>召开日前至少一个工作日将问题清单以书面形式（加盖公章）提交至采购代理机构。</w:t>
      </w:r>
    </w:p>
    <w:p>
      <w:pPr>
        <w:numPr>
          <w:ilvl w:val="0"/>
          <w:numId w:val="55"/>
        </w:numPr>
        <w:tabs>
          <w:tab w:val="left" w:pos="4395"/>
        </w:tabs>
        <w:autoSpaceDE w:val="0"/>
        <w:autoSpaceDN w:val="0"/>
        <w:snapToGrid w:val="0"/>
        <w:spacing w:line="360" w:lineRule="auto"/>
        <w:ind w:left="3819" w:hanging="3819"/>
        <w:jc w:val="center"/>
        <w:outlineLvl w:val="2"/>
        <w:rPr>
          <w:rFonts w:ascii="宋体" w:hAnsi="宋体"/>
          <w:b/>
          <w:color w:val="auto"/>
          <w:sz w:val="28"/>
          <w:szCs w:val="28"/>
          <w:highlight w:val="none"/>
          <w:lang w:eastAsia="zh-TW"/>
        </w:rPr>
      </w:pPr>
      <w:bookmarkStart w:id="33" w:name="_Toc11636"/>
      <w:bookmarkStart w:id="34" w:name="_Toc435174935"/>
      <w:bookmarkStart w:id="35" w:name="_Toc438223138"/>
      <w:bookmarkStart w:id="36" w:name="_Toc435516652"/>
      <w:r>
        <w:rPr>
          <w:rFonts w:hint="eastAsia" w:ascii="宋体" w:hAnsi="宋体"/>
          <w:b/>
          <w:color w:val="auto"/>
          <w:sz w:val="28"/>
          <w:szCs w:val="28"/>
          <w:highlight w:val="none"/>
          <w:lang w:eastAsia="zh-TW"/>
        </w:rPr>
        <w:t>投标文件的编制</w:t>
      </w:r>
      <w:bookmarkEnd w:id="33"/>
      <w:bookmarkEnd w:id="34"/>
      <w:bookmarkEnd w:id="35"/>
      <w:bookmarkEnd w:id="36"/>
    </w:p>
    <w:p>
      <w:pPr>
        <w:numPr>
          <w:ilvl w:val="0"/>
          <w:numId w:val="58"/>
        </w:numPr>
        <w:autoSpaceDE w:val="0"/>
        <w:autoSpaceDN w:val="0"/>
        <w:snapToGrid w:val="0"/>
        <w:spacing w:line="360" w:lineRule="auto"/>
        <w:outlineLvl w:val="3"/>
        <w:rPr>
          <w:rFonts w:ascii="宋体" w:hAnsi="宋体"/>
          <w:b/>
          <w:bCs/>
          <w:color w:val="auto"/>
          <w:sz w:val="24"/>
          <w:highlight w:val="none"/>
        </w:rPr>
      </w:pPr>
      <w:r>
        <w:rPr>
          <w:rFonts w:hint="eastAsia" w:ascii="宋体" w:hAnsi="宋体"/>
          <w:b/>
          <w:bCs/>
          <w:color w:val="auto"/>
          <w:sz w:val="24"/>
          <w:highlight w:val="none"/>
        </w:rPr>
        <w:t>投标的语言</w:t>
      </w:r>
    </w:p>
    <w:p>
      <w:pPr>
        <w:numPr>
          <w:ilvl w:val="1"/>
          <w:numId w:val="58"/>
        </w:numPr>
        <w:autoSpaceDE w:val="0"/>
        <w:autoSpaceDN w:val="0"/>
        <w:snapToGrid w:val="0"/>
        <w:spacing w:line="360" w:lineRule="auto"/>
        <w:rPr>
          <w:rFonts w:ascii="宋体" w:hAnsi="宋体" w:cs="黑体"/>
          <w:b/>
          <w:bCs/>
          <w:color w:val="auto"/>
          <w:sz w:val="24"/>
          <w:highlight w:val="none"/>
        </w:rPr>
      </w:pPr>
      <w:r>
        <w:rPr>
          <w:rFonts w:hint="eastAsia" w:ascii="宋体" w:hAnsi="宋体" w:cs="宋体"/>
          <w:color w:val="auto"/>
          <w:sz w:val="24"/>
          <w:highlight w:val="none"/>
          <w:lang w:eastAsia="zh-TW"/>
        </w:rPr>
        <w:t>投标人提交的投标文件以及投标人与采购人</w:t>
      </w:r>
      <w:r>
        <w:rPr>
          <w:rFonts w:hint="eastAsia" w:ascii="宋体" w:hAnsi="宋体" w:cs="宋体"/>
          <w:color w:val="auto"/>
          <w:sz w:val="24"/>
          <w:highlight w:val="none"/>
        </w:rPr>
        <w:t>或者</w:t>
      </w:r>
      <w:r>
        <w:rPr>
          <w:rFonts w:hint="eastAsia" w:ascii="宋体" w:hAnsi="宋体" w:cs="宋体"/>
          <w:color w:val="auto"/>
          <w:sz w:val="24"/>
          <w:highlight w:val="none"/>
          <w:lang w:eastAsia="zh-TW"/>
        </w:rPr>
        <w:t>采购代理机构就有关投标的所有来往函电均应使用中文书写</w:t>
      </w:r>
      <w:r>
        <w:rPr>
          <w:rFonts w:hint="eastAsia" w:ascii="宋体" w:hAnsi="宋体" w:cs="宋体"/>
          <w:color w:val="auto"/>
          <w:sz w:val="24"/>
          <w:highlight w:val="none"/>
        </w:rPr>
        <w:t>。投</w:t>
      </w:r>
      <w:r>
        <w:rPr>
          <w:rFonts w:hint="eastAsia" w:ascii="宋体" w:hAnsi="宋体" w:cs="宋体"/>
          <w:color w:val="auto"/>
          <w:sz w:val="24"/>
          <w:highlight w:val="none"/>
          <w:lang w:eastAsia="zh-TW"/>
        </w:rPr>
        <w:t>标人提交的支持文件或印刷的资料可以用另一种语言</w:t>
      </w:r>
      <w:r>
        <w:rPr>
          <w:rFonts w:hint="eastAsia" w:ascii="宋体" w:hAnsi="宋体" w:cs="宋体"/>
          <w:color w:val="auto"/>
          <w:sz w:val="24"/>
          <w:highlight w:val="none"/>
        </w:rPr>
        <w:t>，</w:t>
      </w:r>
      <w:r>
        <w:rPr>
          <w:rFonts w:hint="eastAsia" w:ascii="宋体" w:hAnsi="宋体" w:cs="宋体"/>
          <w:color w:val="auto"/>
          <w:sz w:val="24"/>
          <w:highlight w:val="none"/>
          <w:lang w:eastAsia="zh-TW"/>
        </w:rPr>
        <w:t>但相应内容应附有中文翻译本</w:t>
      </w:r>
      <w:r>
        <w:rPr>
          <w:rFonts w:hint="eastAsia" w:ascii="宋体" w:hAnsi="宋体" w:cs="宋体"/>
          <w:color w:val="auto"/>
          <w:sz w:val="24"/>
          <w:highlight w:val="none"/>
        </w:rPr>
        <w:t>，由翻译机构盖章或者翻译人员签名。</w:t>
      </w:r>
      <w:r>
        <w:rPr>
          <w:rFonts w:hint="eastAsia" w:ascii="宋体" w:hAnsi="宋体"/>
          <w:color w:val="auto"/>
          <w:sz w:val="24"/>
          <w:highlight w:val="none"/>
        </w:rPr>
        <w:t>两种语言不一致时以中文翻译本为准。</w:t>
      </w:r>
    </w:p>
    <w:p>
      <w:pPr>
        <w:numPr>
          <w:ilvl w:val="0"/>
          <w:numId w:val="58"/>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投标文件的构成</w:t>
      </w:r>
    </w:p>
    <w:p>
      <w:pPr>
        <w:numPr>
          <w:ilvl w:val="1"/>
          <w:numId w:val="58"/>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投标人应当按照招标文件的要求编制投标文件。投标文件应当对招标文件提出的要求和条件作出明确响应。投标文件的组成</w:t>
      </w:r>
      <w:r>
        <w:rPr>
          <w:rFonts w:hint="eastAsia" w:ascii="宋体" w:hAnsi="宋体" w:cs="宋体"/>
          <w:color w:val="auto"/>
          <w:sz w:val="24"/>
          <w:highlight w:val="none"/>
        </w:rPr>
        <w:t>包括但不仅仅限于</w:t>
      </w:r>
      <w:r>
        <w:rPr>
          <w:rFonts w:hint="eastAsia" w:cs="宋体" w:asciiTheme="minorEastAsia" w:hAnsiTheme="minorEastAsia" w:eastAsiaTheme="minorEastAsia"/>
          <w:b/>
          <w:color w:val="auto"/>
          <w:sz w:val="24"/>
          <w:highlight w:val="none"/>
        </w:rPr>
        <w:t>价格文件、资格性文件、符合性文件、技术文件、商务文件</w:t>
      </w:r>
      <w:r>
        <w:rPr>
          <w:rFonts w:hint="eastAsia" w:cs="宋体" w:asciiTheme="minorEastAsia" w:hAnsiTheme="minorEastAsia" w:eastAsiaTheme="minorEastAsia"/>
          <w:color w:val="auto"/>
          <w:sz w:val="24"/>
          <w:highlight w:val="none"/>
        </w:rPr>
        <w:t>等</w:t>
      </w:r>
      <w:r>
        <w:rPr>
          <w:rFonts w:hint="eastAsia" w:ascii="宋体" w:hAnsi="宋体" w:cs="宋体"/>
          <w:color w:val="auto"/>
          <w:sz w:val="24"/>
          <w:highlight w:val="none"/>
        </w:rPr>
        <w:t>。</w:t>
      </w:r>
    </w:p>
    <w:p>
      <w:pPr>
        <w:numPr>
          <w:ilvl w:val="1"/>
          <w:numId w:val="58"/>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投标文件的构成应符合法律法规及招标文件的要求。</w:t>
      </w:r>
    </w:p>
    <w:p>
      <w:pPr>
        <w:numPr>
          <w:ilvl w:val="0"/>
          <w:numId w:val="58"/>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投标文件的编写</w:t>
      </w:r>
    </w:p>
    <w:p>
      <w:pPr>
        <w:numPr>
          <w:ilvl w:val="1"/>
          <w:numId w:val="58"/>
        </w:numPr>
        <w:autoSpaceDE w:val="0"/>
        <w:autoSpaceDN w:val="0"/>
        <w:snapToGrid w:val="0"/>
        <w:spacing w:line="360" w:lineRule="auto"/>
        <w:rPr>
          <w:rFonts w:ascii="宋体" w:hAnsi="宋体" w:cs="宋体"/>
          <w:color w:val="auto"/>
          <w:sz w:val="24"/>
          <w:highlight w:val="none"/>
        </w:rPr>
      </w:pPr>
      <w:r>
        <w:rPr>
          <w:rFonts w:hint="eastAsia" w:ascii="宋体" w:hAnsi="宋体" w:cs="宋体"/>
          <w:color w:val="auto"/>
          <w:sz w:val="24"/>
          <w:highlight w:val="none"/>
          <w:lang w:eastAsia="zh-TW"/>
        </w:rPr>
        <w:t>投标人对招标文件中多个包组进行投标的</w:t>
      </w:r>
      <w:r>
        <w:rPr>
          <w:rFonts w:hint="eastAsia" w:ascii="宋体" w:hAnsi="宋体" w:cs="宋体"/>
          <w:color w:val="auto"/>
          <w:sz w:val="24"/>
          <w:highlight w:val="none"/>
        </w:rPr>
        <w:t>，</w:t>
      </w:r>
      <w:r>
        <w:rPr>
          <w:rFonts w:hint="eastAsia" w:ascii="宋体" w:hAnsi="宋体" w:cs="宋体"/>
          <w:color w:val="auto"/>
          <w:sz w:val="24"/>
          <w:highlight w:val="none"/>
          <w:lang w:eastAsia="zh-TW"/>
        </w:rPr>
        <w:t>其投标文件的编制</w:t>
      </w:r>
      <w:r>
        <w:rPr>
          <w:rFonts w:hint="eastAsia" w:ascii="宋体" w:hAnsi="宋体" w:cs="宋体"/>
          <w:color w:val="auto"/>
          <w:sz w:val="24"/>
          <w:highlight w:val="none"/>
        </w:rPr>
        <w:t>可以按</w:t>
      </w:r>
      <w:r>
        <w:rPr>
          <w:rFonts w:hint="eastAsia" w:ascii="宋体" w:hAnsi="宋体" w:cs="宋体"/>
          <w:color w:val="auto"/>
          <w:sz w:val="24"/>
          <w:highlight w:val="none"/>
          <w:lang w:eastAsia="zh-TW"/>
        </w:rPr>
        <w:t>每个包组的要求分别装订。投标人应当对投标文件进行装订成册，对未经装订的投标文件可能发生的文件散落或缺损，由此造成的后果</w:t>
      </w:r>
      <w:r>
        <w:rPr>
          <w:rFonts w:hint="eastAsia" w:ascii="宋体" w:hAnsi="宋体" w:cs="宋体"/>
          <w:color w:val="auto"/>
          <w:sz w:val="24"/>
          <w:highlight w:val="none"/>
        </w:rPr>
        <w:t>和</w:t>
      </w:r>
      <w:r>
        <w:rPr>
          <w:rFonts w:hint="eastAsia" w:ascii="宋体" w:hAnsi="宋体" w:cs="宋体"/>
          <w:color w:val="auto"/>
          <w:sz w:val="24"/>
          <w:highlight w:val="none"/>
          <w:lang w:eastAsia="zh-TW"/>
        </w:rPr>
        <w:t>责任由投标人承担</w:t>
      </w:r>
      <w:r>
        <w:rPr>
          <w:rFonts w:hint="eastAsia" w:ascii="宋体" w:hAnsi="宋体" w:cs="宋体"/>
          <w:color w:val="auto"/>
          <w:sz w:val="24"/>
          <w:highlight w:val="none"/>
        </w:rPr>
        <w:t>。</w:t>
      </w:r>
    </w:p>
    <w:p>
      <w:pPr>
        <w:numPr>
          <w:ilvl w:val="1"/>
          <w:numId w:val="58"/>
        </w:numPr>
        <w:tabs>
          <w:tab w:val="left" w:pos="709"/>
        </w:tabs>
        <w:autoSpaceDE w:val="0"/>
        <w:autoSpaceDN w:val="0"/>
        <w:snapToGrid w:val="0"/>
        <w:spacing w:line="360" w:lineRule="auto"/>
        <w:rPr>
          <w:rFonts w:ascii="宋体" w:hAnsi="宋体" w:cs="宋体"/>
          <w:strike/>
          <w:color w:val="auto"/>
          <w:sz w:val="24"/>
          <w:highlight w:val="none"/>
        </w:rPr>
      </w:pPr>
      <w:r>
        <w:rPr>
          <w:rFonts w:hint="eastAsia" w:ascii="宋体" w:hAnsi="宋体" w:cs="宋体"/>
          <w:color w:val="auto"/>
          <w:sz w:val="24"/>
          <w:highlight w:val="none"/>
          <w:lang w:eastAsia="zh-TW"/>
        </w:rPr>
        <w:t>投标人必须对投标文件所提供的全部资料的真实性承担法律责任</w:t>
      </w:r>
      <w:r>
        <w:rPr>
          <w:rFonts w:hint="eastAsia" w:ascii="宋体" w:hAnsi="宋体" w:cs="宋体"/>
          <w:color w:val="auto"/>
          <w:sz w:val="24"/>
          <w:highlight w:val="none"/>
        </w:rPr>
        <w:t>。</w:t>
      </w:r>
    </w:p>
    <w:p>
      <w:pPr>
        <w:numPr>
          <w:ilvl w:val="1"/>
          <w:numId w:val="58"/>
        </w:numPr>
        <w:tabs>
          <w:tab w:val="left" w:pos="709"/>
        </w:tabs>
        <w:autoSpaceDE w:val="0"/>
        <w:autoSpaceDN w:val="0"/>
        <w:snapToGrid w:val="0"/>
        <w:spacing w:line="360" w:lineRule="auto"/>
        <w:rPr>
          <w:rFonts w:ascii="宋体" w:hAnsi="宋体" w:cs="宋体"/>
          <w:strike/>
          <w:color w:val="auto"/>
          <w:sz w:val="24"/>
          <w:highlight w:val="none"/>
          <w:lang w:eastAsia="zh-TW"/>
        </w:rPr>
      </w:pPr>
      <w:r>
        <w:rPr>
          <w:rFonts w:hint="eastAsia" w:ascii="宋体" w:hAnsi="宋体" w:cs="宋体"/>
          <w:color w:val="auto"/>
          <w:sz w:val="24"/>
          <w:highlight w:val="none"/>
        </w:rPr>
        <w:t>投标人应认真阅读招标文件中所有的事项、格式、条款和技术要求等，并按照招标文件的要求编制投标文件。若投标人不按照招标文件要求编制投标文件，由此产生的风险由投标人自己承担。</w:t>
      </w:r>
    </w:p>
    <w:p>
      <w:pPr>
        <w:numPr>
          <w:ilvl w:val="0"/>
          <w:numId w:val="58"/>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投标文件的式样和签署</w:t>
      </w:r>
    </w:p>
    <w:p>
      <w:pPr>
        <w:numPr>
          <w:ilvl w:val="1"/>
          <w:numId w:val="58"/>
        </w:numPr>
        <w:autoSpaceDE w:val="0"/>
        <w:autoSpaceDN w:val="0"/>
        <w:snapToGrid w:val="0"/>
        <w:spacing w:line="360" w:lineRule="auto"/>
        <w:rPr>
          <w:rFonts w:ascii="宋体" w:hAnsi="宋体" w:cs="黑体"/>
          <w:b/>
          <w:bCs/>
          <w:strike/>
          <w:color w:val="auto"/>
          <w:sz w:val="24"/>
          <w:highlight w:val="none"/>
        </w:rPr>
      </w:pPr>
      <w:r>
        <w:rPr>
          <w:rFonts w:hint="eastAsia" w:ascii="宋体" w:hAnsi="宋体" w:cs="宋体"/>
          <w:color w:val="auto"/>
          <w:sz w:val="24"/>
          <w:highlight w:val="none"/>
          <w:lang w:eastAsia="zh-TW"/>
        </w:rPr>
        <w:t>投标人应</w:t>
      </w:r>
      <w:r>
        <w:rPr>
          <w:rFonts w:hint="eastAsia" w:ascii="宋体" w:hAnsi="宋体" w:cs="宋体"/>
          <w:color w:val="auto"/>
          <w:sz w:val="24"/>
          <w:highlight w:val="none"/>
        </w:rPr>
        <w:t>准备</w:t>
      </w:r>
      <w:r>
        <w:rPr>
          <w:rFonts w:hint="eastAsia" w:ascii="宋体" w:hAnsi="宋体" w:cs="宋体"/>
          <w:b/>
          <w:color w:val="auto"/>
          <w:sz w:val="24"/>
          <w:highlight w:val="none"/>
          <w:lang w:eastAsia="zh-TW"/>
        </w:rPr>
        <w:t>投标须知前附表</w:t>
      </w:r>
      <w:r>
        <w:rPr>
          <w:rFonts w:hint="eastAsia" w:ascii="宋体" w:hAnsi="宋体" w:cs="宋体"/>
          <w:color w:val="auto"/>
          <w:sz w:val="24"/>
          <w:highlight w:val="none"/>
          <w:lang w:eastAsia="zh-TW"/>
        </w:rPr>
        <w:t>中规定</w:t>
      </w:r>
      <w:r>
        <w:rPr>
          <w:rFonts w:hint="eastAsia" w:ascii="宋体" w:hAnsi="宋体" w:cs="宋体"/>
          <w:color w:val="auto"/>
          <w:sz w:val="24"/>
          <w:highlight w:val="none"/>
        </w:rPr>
        <w:t>式样和份数的副本、正本和</w:t>
      </w:r>
      <w:r>
        <w:rPr>
          <w:rFonts w:hint="eastAsia" w:ascii="宋体" w:hAnsi="宋体" w:cs="宋体"/>
          <w:color w:val="auto"/>
          <w:sz w:val="24"/>
          <w:highlight w:val="none"/>
          <w:lang w:eastAsia="zh-TW"/>
        </w:rPr>
        <w:t>电子介质</w:t>
      </w:r>
      <w:r>
        <w:rPr>
          <w:rFonts w:hint="eastAsia" w:ascii="宋体" w:hAnsi="宋体" w:cs="宋体"/>
          <w:color w:val="auto"/>
          <w:sz w:val="24"/>
          <w:highlight w:val="none"/>
        </w:rPr>
        <w:t>的投标文件。</w:t>
      </w:r>
    </w:p>
    <w:p>
      <w:pPr>
        <w:numPr>
          <w:ilvl w:val="1"/>
          <w:numId w:val="58"/>
        </w:numPr>
        <w:autoSpaceDE w:val="0"/>
        <w:autoSpaceDN w:val="0"/>
        <w:snapToGrid w:val="0"/>
        <w:spacing w:line="360" w:lineRule="auto"/>
        <w:rPr>
          <w:rFonts w:ascii="宋体" w:hAnsi="宋体" w:cs="黑体"/>
          <w:bCs/>
          <w:strike/>
          <w:color w:val="auto"/>
          <w:sz w:val="24"/>
          <w:highlight w:val="none"/>
        </w:rPr>
      </w:pPr>
      <w:r>
        <w:rPr>
          <w:rFonts w:hint="eastAsia" w:ascii="宋体" w:hAnsi="宋体" w:cs="黑体"/>
          <w:bCs/>
          <w:color w:val="auto"/>
          <w:sz w:val="24"/>
          <w:highlight w:val="none"/>
        </w:rPr>
        <w:t>请投标人按</w:t>
      </w:r>
      <w:r>
        <w:rPr>
          <w:rFonts w:hint="eastAsia" w:ascii="宋体" w:hAnsi="宋体" w:cs="宋体"/>
          <w:b/>
          <w:color w:val="auto"/>
          <w:sz w:val="24"/>
          <w:highlight w:val="none"/>
          <w:lang w:eastAsia="zh-TW"/>
        </w:rPr>
        <w:t>投标须知前附表</w:t>
      </w:r>
      <w:r>
        <w:rPr>
          <w:rFonts w:hint="eastAsia" w:ascii="宋体" w:hAnsi="宋体" w:cs="宋体"/>
          <w:color w:val="auto"/>
          <w:sz w:val="24"/>
          <w:highlight w:val="none"/>
        </w:rPr>
        <w:t>中的规定提交单独密封资料。</w:t>
      </w:r>
    </w:p>
    <w:p>
      <w:pPr>
        <w:numPr>
          <w:ilvl w:val="1"/>
          <w:numId w:val="58"/>
        </w:numPr>
        <w:autoSpaceDE w:val="0"/>
        <w:autoSpaceDN w:val="0"/>
        <w:snapToGrid w:val="0"/>
        <w:spacing w:line="360" w:lineRule="auto"/>
        <w:rPr>
          <w:rFonts w:ascii="宋体" w:hAnsi="宋体" w:cs="黑体"/>
          <w:b/>
          <w:bCs/>
          <w:color w:val="auto"/>
          <w:sz w:val="24"/>
          <w:highlight w:val="none"/>
        </w:rPr>
      </w:pPr>
      <w:r>
        <w:rPr>
          <w:rFonts w:hint="eastAsia" w:ascii="宋体" w:hAnsi="宋体" w:cs="宋体"/>
          <w:color w:val="auto"/>
          <w:sz w:val="24"/>
          <w:highlight w:val="none"/>
          <w:lang w:eastAsia="zh-TW"/>
        </w:rPr>
        <w:t>投标文件的签署：</w:t>
      </w:r>
    </w:p>
    <w:p>
      <w:pPr>
        <w:numPr>
          <w:ilvl w:val="2"/>
          <w:numId w:val="58"/>
        </w:numPr>
        <w:autoSpaceDE w:val="0"/>
        <w:autoSpaceDN w:val="0"/>
        <w:snapToGrid w:val="0"/>
        <w:spacing w:line="360" w:lineRule="auto"/>
        <w:rPr>
          <w:rFonts w:ascii="宋体" w:hAnsi="宋体"/>
          <w:color w:val="auto"/>
          <w:sz w:val="24"/>
          <w:highlight w:val="none"/>
        </w:rPr>
      </w:pPr>
      <w:r>
        <w:rPr>
          <w:rFonts w:hint="eastAsia" w:ascii="宋体" w:hAnsi="宋体" w:cs="宋体"/>
          <w:color w:val="auto"/>
          <w:sz w:val="24"/>
          <w:highlight w:val="none"/>
          <w:lang w:eastAsia="zh-TW"/>
        </w:rPr>
        <w:t>投标文件的正本需打印或用不褪色墨水书写</w:t>
      </w:r>
      <w:r>
        <w:rPr>
          <w:rFonts w:hint="eastAsia" w:ascii="宋体" w:hAnsi="宋体" w:cs="宋体"/>
          <w:color w:val="auto"/>
          <w:sz w:val="24"/>
          <w:highlight w:val="none"/>
        </w:rPr>
        <w:t>，且</w:t>
      </w:r>
      <w:r>
        <w:rPr>
          <w:rFonts w:hint="eastAsia" w:cs="宋体" w:asciiTheme="minorEastAsia" w:hAnsiTheme="minorEastAsia" w:eastAsiaTheme="minorEastAsia"/>
          <w:color w:val="auto"/>
          <w:sz w:val="24"/>
          <w:highlight w:val="none"/>
        </w:rPr>
        <w:t>招标文件要求签名的</w:t>
      </w:r>
      <w:r>
        <w:rPr>
          <w:rFonts w:hint="eastAsia" w:cs="宋体" w:asciiTheme="minorEastAsia" w:hAnsiTheme="minorEastAsia" w:eastAsiaTheme="minorEastAsia"/>
          <w:color w:val="auto"/>
          <w:sz w:val="24"/>
          <w:highlight w:val="none"/>
          <w:lang w:eastAsia="zh-TW"/>
        </w:rPr>
        <w:t>由</w:t>
      </w:r>
      <w:r>
        <w:rPr>
          <w:rFonts w:hint="eastAsia" w:cs="宋体" w:asciiTheme="minorEastAsia" w:hAnsiTheme="minorEastAsia" w:eastAsiaTheme="minorEastAsia"/>
          <w:color w:val="auto"/>
          <w:sz w:val="24"/>
          <w:highlight w:val="none"/>
        </w:rPr>
        <w:t>法定</w:t>
      </w:r>
      <w:r>
        <w:rPr>
          <w:rFonts w:hint="eastAsia" w:cs="宋体" w:asciiTheme="minorEastAsia" w:hAnsiTheme="minorEastAsia" w:eastAsiaTheme="minorEastAsia"/>
          <w:color w:val="auto"/>
          <w:sz w:val="24"/>
          <w:highlight w:val="none"/>
          <w:lang w:eastAsia="zh-TW"/>
        </w:rPr>
        <w:t>代表人或经其正式授权的代表签字或盖个人名章，以及招标文件中明示盖公章</w:t>
      </w:r>
      <w:r>
        <w:rPr>
          <w:rFonts w:hint="eastAsia" w:cs="宋体" w:asciiTheme="minorEastAsia" w:hAnsiTheme="minorEastAsia" w:eastAsiaTheme="minorEastAsia"/>
          <w:color w:val="auto"/>
          <w:sz w:val="24"/>
          <w:highlight w:val="none"/>
        </w:rPr>
        <w:t>处</w:t>
      </w:r>
      <w:r>
        <w:rPr>
          <w:rFonts w:hint="eastAsia" w:cs="宋体" w:asciiTheme="minorEastAsia" w:hAnsiTheme="minorEastAsia" w:eastAsiaTheme="minorEastAsia"/>
          <w:color w:val="auto"/>
          <w:sz w:val="24"/>
          <w:highlight w:val="none"/>
          <w:lang w:eastAsia="zh-TW"/>
        </w:rPr>
        <w:t>及</w:t>
      </w:r>
      <w:r>
        <w:rPr>
          <w:rFonts w:hint="eastAsia" w:cs="宋体" w:asciiTheme="minorEastAsia" w:hAnsiTheme="minorEastAsia" w:eastAsiaTheme="minorEastAsia"/>
          <w:color w:val="auto"/>
          <w:sz w:val="24"/>
          <w:highlight w:val="none"/>
        </w:rPr>
        <w:t>要求</w:t>
      </w:r>
      <w:r>
        <w:rPr>
          <w:rFonts w:hint="eastAsia" w:cs="宋体" w:asciiTheme="minorEastAsia" w:hAnsiTheme="minorEastAsia" w:eastAsiaTheme="minorEastAsia"/>
          <w:color w:val="auto"/>
          <w:sz w:val="24"/>
          <w:highlight w:val="none"/>
          <w:lang w:eastAsia="zh-TW"/>
        </w:rPr>
        <w:t>提供的证明材料应盖投标人公章</w:t>
      </w:r>
      <w:r>
        <w:rPr>
          <w:rFonts w:hint="eastAsia" w:ascii="宋体" w:hAnsi="宋体" w:cs="宋体"/>
          <w:color w:val="auto"/>
          <w:sz w:val="24"/>
          <w:highlight w:val="none"/>
          <w:lang w:eastAsia="zh-TW"/>
        </w:rPr>
        <w:t>，</w:t>
      </w:r>
      <w:r>
        <w:rPr>
          <w:rFonts w:hint="eastAsia" w:ascii="宋体" w:hAnsi="宋体" w:cs="宋体"/>
          <w:color w:val="auto"/>
          <w:sz w:val="24"/>
          <w:highlight w:val="none"/>
        </w:rPr>
        <w:t>不得加盖合同专用章、投标人专用章等各种形式的专用章。副本可以</w:t>
      </w:r>
      <w:r>
        <w:rPr>
          <w:rFonts w:hint="eastAsia" w:ascii="宋体" w:hAnsi="宋体" w:cs="Courier New"/>
          <w:color w:val="auto"/>
          <w:sz w:val="24"/>
          <w:highlight w:val="none"/>
        </w:rPr>
        <w:t>用正本</w:t>
      </w:r>
      <w:r>
        <w:rPr>
          <w:rFonts w:hint="eastAsia" w:ascii="宋体" w:hAnsi="宋体" w:cs="宋体"/>
          <w:color w:val="auto"/>
          <w:sz w:val="24"/>
          <w:highlight w:val="none"/>
        </w:rPr>
        <w:t>复印，与正本具有同等法律效力</w:t>
      </w:r>
      <w:r>
        <w:rPr>
          <w:rFonts w:hint="eastAsia" w:ascii="宋体" w:hAnsi="宋体" w:cs="宋体"/>
          <w:color w:val="auto"/>
          <w:sz w:val="24"/>
          <w:highlight w:val="none"/>
          <w:lang w:eastAsia="zh-TW"/>
        </w:rPr>
        <w:t>。授权代表须将以书面形式出具的《法定代表人授权</w:t>
      </w:r>
      <w:r>
        <w:rPr>
          <w:rFonts w:hint="eastAsia" w:ascii="宋体" w:hAnsi="宋体" w:cs="宋体"/>
          <w:color w:val="auto"/>
          <w:sz w:val="24"/>
          <w:highlight w:val="none"/>
        </w:rPr>
        <w:t>委托</w:t>
      </w:r>
      <w:r>
        <w:rPr>
          <w:rFonts w:hint="eastAsia" w:ascii="宋体" w:hAnsi="宋体" w:cs="宋体"/>
          <w:color w:val="auto"/>
          <w:sz w:val="24"/>
          <w:highlight w:val="none"/>
          <w:lang w:eastAsia="zh-TW"/>
        </w:rPr>
        <w:t>书》附在</w:t>
      </w:r>
      <w:r>
        <w:rPr>
          <w:rFonts w:hint="eastAsia" w:ascii="宋体" w:hAnsi="宋体" w:cs="宋体"/>
          <w:color w:val="auto"/>
          <w:sz w:val="24"/>
          <w:highlight w:val="none"/>
        </w:rPr>
        <w:t>投</w:t>
      </w:r>
      <w:r>
        <w:rPr>
          <w:rFonts w:hint="eastAsia" w:ascii="宋体" w:hAnsi="宋体" w:cs="宋体"/>
          <w:color w:val="auto"/>
          <w:sz w:val="24"/>
          <w:highlight w:val="none"/>
          <w:lang w:eastAsia="zh-TW"/>
        </w:rPr>
        <w:t>标文件中。</w:t>
      </w:r>
    </w:p>
    <w:p>
      <w:pPr>
        <w:numPr>
          <w:ilvl w:val="2"/>
          <w:numId w:val="58"/>
        </w:numPr>
        <w:autoSpaceDE w:val="0"/>
        <w:autoSpaceDN w:val="0"/>
        <w:snapToGrid w:val="0"/>
        <w:spacing w:line="360" w:lineRule="auto"/>
        <w:rPr>
          <w:rFonts w:ascii="宋体" w:hAnsi="宋体"/>
          <w:color w:val="auto"/>
          <w:sz w:val="24"/>
          <w:highlight w:val="none"/>
        </w:rPr>
      </w:pPr>
      <w:r>
        <w:rPr>
          <w:rFonts w:hint="eastAsia" w:ascii="宋体" w:hAnsi="宋体" w:cs="宋体"/>
          <w:color w:val="auto"/>
          <w:sz w:val="24"/>
          <w:highlight w:val="none"/>
          <w:lang w:eastAsia="zh-TW"/>
        </w:rPr>
        <w:t>投标文件中的任何重要的插字、涂改和增删，必须由法定代表人或经其正式授权的代表在旁边</w:t>
      </w:r>
      <w:r>
        <w:rPr>
          <w:rFonts w:hint="eastAsia" w:ascii="宋体" w:hAnsi="宋体" w:cs="宋体"/>
          <w:color w:val="auto"/>
          <w:sz w:val="24"/>
          <w:highlight w:val="none"/>
        </w:rPr>
        <w:t>盖个人名章</w:t>
      </w:r>
      <w:r>
        <w:rPr>
          <w:rFonts w:hint="eastAsia" w:ascii="宋体" w:hAnsi="宋体" w:cs="宋体"/>
          <w:color w:val="auto"/>
          <w:sz w:val="24"/>
          <w:highlight w:val="none"/>
          <w:lang w:eastAsia="zh-TW"/>
        </w:rPr>
        <w:t>或签字</w:t>
      </w:r>
      <w:r>
        <w:rPr>
          <w:rFonts w:hint="eastAsia" w:ascii="宋体" w:hAnsi="宋体"/>
          <w:color w:val="auto"/>
          <w:sz w:val="24"/>
          <w:highlight w:val="none"/>
        </w:rPr>
        <w:t>或盖投标人公章</w:t>
      </w:r>
      <w:r>
        <w:rPr>
          <w:rFonts w:hint="eastAsia" w:ascii="宋体" w:hAnsi="宋体" w:cs="宋体"/>
          <w:color w:val="auto"/>
          <w:sz w:val="24"/>
          <w:highlight w:val="none"/>
          <w:lang w:eastAsia="zh-TW"/>
        </w:rPr>
        <w:t>才有效</w:t>
      </w:r>
      <w:r>
        <w:rPr>
          <w:rFonts w:hint="eastAsia" w:ascii="宋体" w:hAnsi="宋体" w:cs="宋体"/>
          <w:color w:val="auto"/>
          <w:sz w:val="24"/>
          <w:highlight w:val="none"/>
        </w:rPr>
        <w:t>。</w:t>
      </w:r>
    </w:p>
    <w:p>
      <w:pPr>
        <w:numPr>
          <w:ilvl w:val="1"/>
          <w:numId w:val="58"/>
        </w:numPr>
        <w:autoSpaceDE w:val="0"/>
        <w:autoSpaceDN w:val="0"/>
        <w:snapToGrid w:val="0"/>
        <w:spacing w:line="360" w:lineRule="auto"/>
        <w:rPr>
          <w:rFonts w:ascii="宋体" w:hAnsi="宋体" w:cs="黑体"/>
          <w:bCs/>
          <w:color w:val="auto"/>
          <w:sz w:val="24"/>
          <w:highlight w:val="none"/>
        </w:rPr>
      </w:pPr>
      <w:r>
        <w:rPr>
          <w:rFonts w:hint="eastAsia" w:ascii="宋体" w:hAnsi="宋体" w:cs="宋体"/>
          <w:color w:val="auto"/>
          <w:sz w:val="24"/>
          <w:highlight w:val="none"/>
          <w:lang w:eastAsia="zh-TW"/>
        </w:rPr>
        <w:t>投标文件</w:t>
      </w:r>
      <w:r>
        <w:rPr>
          <w:rFonts w:hint="eastAsia" w:ascii="宋体" w:hAnsi="宋体"/>
          <w:bCs/>
          <w:color w:val="auto"/>
          <w:sz w:val="24"/>
          <w:highlight w:val="none"/>
        </w:rPr>
        <w:t>密封与标识</w:t>
      </w:r>
    </w:p>
    <w:p>
      <w:pPr>
        <w:numPr>
          <w:ilvl w:val="3"/>
          <w:numId w:val="58"/>
        </w:numPr>
        <w:tabs>
          <w:tab w:val="left" w:pos="993"/>
        </w:tabs>
        <w:autoSpaceDE w:val="0"/>
        <w:autoSpaceDN w:val="0"/>
        <w:snapToGrid w:val="0"/>
        <w:spacing w:line="360" w:lineRule="auto"/>
        <w:ind w:left="567" w:hanging="567"/>
        <w:rPr>
          <w:rFonts w:ascii="宋体" w:hAnsi="宋体" w:cs="宋体"/>
          <w:color w:val="auto"/>
          <w:sz w:val="24"/>
          <w:highlight w:val="none"/>
        </w:rPr>
      </w:pPr>
      <w:r>
        <w:rPr>
          <w:rFonts w:hint="eastAsia" w:ascii="宋体" w:hAnsi="宋体" w:cs="宋体"/>
          <w:color w:val="auto"/>
          <w:sz w:val="24"/>
          <w:highlight w:val="none"/>
        </w:rPr>
        <w:t>投标文件的密封：</w:t>
      </w:r>
    </w:p>
    <w:p>
      <w:pPr>
        <w:pStyle w:val="24"/>
        <w:numPr>
          <w:ilvl w:val="0"/>
          <w:numId w:val="59"/>
        </w:numPr>
        <w:tabs>
          <w:tab w:val="left" w:pos="709"/>
        </w:tabs>
        <w:autoSpaceDE w:val="0"/>
        <w:autoSpaceDN w:val="0"/>
        <w:snapToGrid w:val="0"/>
        <w:spacing w:line="360" w:lineRule="auto"/>
        <w:ind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投标文件正本与副本可以单独密封包装，也可以所有投标文件密封包装在一个密封袋内。</w:t>
      </w:r>
    </w:p>
    <w:p>
      <w:pPr>
        <w:pStyle w:val="24"/>
        <w:numPr>
          <w:ilvl w:val="0"/>
          <w:numId w:val="59"/>
        </w:numPr>
        <w:tabs>
          <w:tab w:val="left" w:pos="709"/>
        </w:tabs>
        <w:autoSpaceDE w:val="0"/>
        <w:autoSpaceDN w:val="0"/>
        <w:snapToGrid w:val="0"/>
        <w:spacing w:line="360" w:lineRule="auto"/>
        <w:ind w:firstLineChars="0"/>
        <w:rPr>
          <w:rFonts w:ascii="宋体" w:hAnsi="宋体" w:cs="宋体"/>
          <w:color w:val="auto"/>
          <w:sz w:val="24"/>
          <w:highlight w:val="none"/>
        </w:rPr>
      </w:pPr>
      <w:r>
        <w:rPr>
          <w:rFonts w:hint="eastAsia" w:cs="宋体" w:asciiTheme="minorEastAsia" w:hAnsiTheme="minorEastAsia" w:eastAsiaTheme="minorEastAsia"/>
          <w:color w:val="auto"/>
          <w:sz w:val="24"/>
          <w:highlight w:val="none"/>
        </w:rPr>
        <w:t>不足以造成投标文件可从外包装内散出而导致投标文件内容泄密的，不被认定为投标文件未密封。</w:t>
      </w:r>
    </w:p>
    <w:p>
      <w:pPr>
        <w:numPr>
          <w:ilvl w:val="3"/>
          <w:numId w:val="58"/>
        </w:numPr>
        <w:tabs>
          <w:tab w:val="left" w:pos="993"/>
        </w:tabs>
        <w:autoSpaceDE w:val="0"/>
        <w:autoSpaceDN w:val="0"/>
        <w:snapToGrid w:val="0"/>
        <w:spacing w:line="360" w:lineRule="auto"/>
        <w:ind w:left="567" w:hanging="567"/>
        <w:rPr>
          <w:rFonts w:ascii="宋体" w:hAnsi="宋体" w:cs="宋体"/>
          <w:color w:val="auto"/>
          <w:sz w:val="24"/>
          <w:highlight w:val="none"/>
        </w:rPr>
      </w:pPr>
      <w:r>
        <w:rPr>
          <w:rFonts w:hint="eastAsia" w:cs="宋体" w:asciiTheme="minorEastAsia" w:hAnsiTheme="minorEastAsia" w:eastAsiaTheme="minorEastAsia"/>
          <w:color w:val="auto"/>
          <w:sz w:val="24"/>
          <w:highlight w:val="none"/>
        </w:rPr>
        <w:t>投标文件的标识：</w:t>
      </w:r>
    </w:p>
    <w:p>
      <w:pPr>
        <w:pStyle w:val="24"/>
        <w:numPr>
          <w:ilvl w:val="0"/>
          <w:numId w:val="60"/>
        </w:numPr>
        <w:tabs>
          <w:tab w:val="left" w:pos="709"/>
        </w:tabs>
        <w:autoSpaceDE w:val="0"/>
        <w:autoSpaceDN w:val="0"/>
        <w:snapToGrid w:val="0"/>
        <w:spacing w:line="360" w:lineRule="auto"/>
        <w:ind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信封或外包装上需清楚写明项目编号、项目名称、投标人名称、投标人地址、包组号（如有）的字样。</w:t>
      </w:r>
    </w:p>
    <w:p>
      <w:pPr>
        <w:pStyle w:val="24"/>
        <w:numPr>
          <w:ilvl w:val="0"/>
          <w:numId w:val="60"/>
        </w:numPr>
        <w:tabs>
          <w:tab w:val="left" w:pos="709"/>
        </w:tabs>
        <w:autoSpaceDE w:val="0"/>
        <w:autoSpaceDN w:val="0"/>
        <w:snapToGrid w:val="0"/>
        <w:spacing w:line="360" w:lineRule="auto"/>
        <w:ind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如果未按本须知上款要求加写标识，采购代理机构对误投或提前启封概不负责。</w:t>
      </w:r>
    </w:p>
    <w:p>
      <w:pPr>
        <w:numPr>
          <w:ilvl w:val="0"/>
          <w:numId w:val="58"/>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投标报价</w:t>
      </w:r>
    </w:p>
    <w:p>
      <w:pPr>
        <w:numPr>
          <w:ilvl w:val="1"/>
          <w:numId w:val="58"/>
        </w:numPr>
        <w:autoSpaceDE w:val="0"/>
        <w:autoSpaceDN w:val="0"/>
        <w:snapToGrid w:val="0"/>
        <w:spacing w:line="360" w:lineRule="auto"/>
        <w:rPr>
          <w:rFonts w:ascii="宋体" w:hAnsi="宋体" w:cs="黑体"/>
          <w:b/>
          <w:bCs/>
          <w:color w:val="auto"/>
          <w:sz w:val="24"/>
          <w:highlight w:val="none"/>
        </w:rPr>
      </w:pPr>
      <w:r>
        <w:rPr>
          <w:rFonts w:hint="eastAsia" w:ascii="宋体" w:hAnsi="宋体" w:cs="宋体"/>
          <w:color w:val="auto"/>
          <w:sz w:val="24"/>
          <w:highlight w:val="none"/>
          <w:lang w:eastAsia="zh-TW"/>
        </w:rPr>
        <w:t>投标人应按照“采购需求”</w:t>
      </w:r>
      <w:r>
        <w:rPr>
          <w:rFonts w:hint="eastAsia" w:ascii="宋体" w:hAnsi="宋体" w:cs="宋体"/>
          <w:color w:val="auto"/>
          <w:sz w:val="24"/>
          <w:highlight w:val="none"/>
        </w:rPr>
        <w:t>中</w:t>
      </w:r>
      <w:r>
        <w:rPr>
          <w:rFonts w:hint="eastAsia" w:ascii="宋体" w:hAnsi="宋体" w:cs="宋体"/>
          <w:color w:val="auto"/>
          <w:sz w:val="24"/>
          <w:highlight w:val="none"/>
          <w:lang w:eastAsia="zh-TW"/>
        </w:rPr>
        <w:t>采购项目技术规格、参数及要求规定的内容、责任范围进行报价。并按《</w:t>
      </w:r>
      <w:r>
        <w:rPr>
          <w:rFonts w:hint="eastAsia" w:ascii="宋体" w:hAnsi="宋体" w:cs="宋体"/>
          <w:color w:val="auto"/>
          <w:sz w:val="24"/>
          <w:highlight w:val="none"/>
        </w:rPr>
        <w:t>开标一览表(报价表)</w:t>
      </w:r>
      <w:r>
        <w:rPr>
          <w:rFonts w:hint="eastAsia" w:ascii="宋体" w:hAnsi="宋体" w:cs="宋体"/>
          <w:color w:val="auto"/>
          <w:sz w:val="24"/>
          <w:highlight w:val="none"/>
          <w:lang w:eastAsia="zh-TW"/>
        </w:rPr>
        <w:t>》</w:t>
      </w:r>
      <w:r>
        <w:rPr>
          <w:rFonts w:hint="eastAsia" w:ascii="宋体" w:hAnsi="宋体" w:cs="宋体"/>
          <w:color w:val="auto"/>
          <w:sz w:val="24"/>
          <w:highlight w:val="none"/>
        </w:rPr>
        <w:t>及</w:t>
      </w:r>
      <w:r>
        <w:rPr>
          <w:rFonts w:hint="eastAsia" w:ascii="宋体" w:hAnsi="宋体" w:cs="宋体"/>
          <w:color w:val="auto"/>
          <w:sz w:val="24"/>
          <w:highlight w:val="none"/>
          <w:lang w:eastAsia="zh-TW"/>
        </w:rPr>
        <w:t>《投标分项报价表》（如适用）的</w:t>
      </w:r>
      <w:r>
        <w:rPr>
          <w:rFonts w:hint="eastAsia" w:ascii="宋体" w:hAnsi="宋体" w:cs="宋体"/>
          <w:color w:val="auto"/>
          <w:sz w:val="24"/>
          <w:highlight w:val="none"/>
        </w:rPr>
        <w:t>要求</w:t>
      </w:r>
      <w:r>
        <w:rPr>
          <w:rFonts w:hint="eastAsia" w:ascii="宋体" w:hAnsi="宋体" w:cs="宋体"/>
          <w:color w:val="auto"/>
          <w:sz w:val="24"/>
          <w:highlight w:val="none"/>
          <w:lang w:eastAsia="zh-TW"/>
        </w:rPr>
        <w:t>报出总价和分项价格。</w:t>
      </w:r>
      <w:r>
        <w:rPr>
          <w:rFonts w:hint="eastAsia" w:ascii="宋体" w:hAnsi="宋体" w:cs="宋体"/>
          <w:color w:val="auto"/>
          <w:sz w:val="24"/>
          <w:highlight w:val="none"/>
        </w:rPr>
        <w:t>投标人</w:t>
      </w:r>
      <w:r>
        <w:rPr>
          <w:rFonts w:hint="eastAsia" w:ascii="宋体" w:hAnsi="宋体" w:cs="宋体"/>
          <w:color w:val="auto"/>
          <w:sz w:val="24"/>
          <w:highlight w:val="none"/>
          <w:lang w:eastAsia="zh-TW"/>
        </w:rPr>
        <w:t>按</w:t>
      </w:r>
      <w:r>
        <w:rPr>
          <w:rFonts w:hint="eastAsia" w:ascii="宋体" w:hAnsi="宋体" w:cs="宋体"/>
          <w:color w:val="auto"/>
          <w:sz w:val="24"/>
          <w:highlight w:val="none"/>
        </w:rPr>
        <w:t>招标</w:t>
      </w:r>
      <w:r>
        <w:rPr>
          <w:rFonts w:hint="eastAsia" w:ascii="宋体" w:hAnsi="宋体" w:cs="宋体"/>
          <w:color w:val="auto"/>
          <w:sz w:val="24"/>
          <w:highlight w:val="none"/>
          <w:lang w:eastAsia="zh-TW"/>
        </w:rPr>
        <w:t>文件的要求报出全部货物及服务内容所需的所有费用，</w:t>
      </w:r>
      <w:r>
        <w:rPr>
          <w:rFonts w:hint="eastAsia" w:cs="宋体" w:asciiTheme="minorEastAsia" w:hAnsiTheme="minorEastAsia" w:eastAsiaTheme="minorEastAsia"/>
          <w:color w:val="auto"/>
          <w:sz w:val="24"/>
          <w:highlight w:val="none"/>
        </w:rPr>
        <w:t>在合同履行过程中，采购人不再支付除合同金额以外的费用。</w:t>
      </w:r>
    </w:p>
    <w:p>
      <w:pPr>
        <w:numPr>
          <w:ilvl w:val="1"/>
          <w:numId w:val="58"/>
        </w:numPr>
        <w:tabs>
          <w:tab w:val="clear" w:pos="567"/>
        </w:tabs>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投标报价应包含按招标文件的要求全部货物及服务内容所需的所有费用，</w:t>
      </w:r>
      <w:r>
        <w:rPr>
          <w:rFonts w:ascii="宋体" w:hAnsi="宋体" w:cs="宋体"/>
          <w:color w:val="auto"/>
          <w:sz w:val="24"/>
          <w:highlight w:val="none"/>
          <w:lang w:eastAsia="zh-TW"/>
        </w:rPr>
        <w:t>包括但不限于</w:t>
      </w:r>
      <w:r>
        <w:rPr>
          <w:rFonts w:hint="eastAsia" w:ascii="宋体" w:hAnsi="宋体" w:cs="宋体"/>
          <w:b/>
          <w:color w:val="auto"/>
          <w:sz w:val="24"/>
          <w:highlight w:val="none"/>
          <w:lang w:eastAsia="zh-TW"/>
        </w:rPr>
        <w:t>投标人须知前附表</w:t>
      </w:r>
      <w:r>
        <w:rPr>
          <w:rFonts w:hint="eastAsia" w:ascii="宋体" w:hAnsi="宋体" w:cs="宋体"/>
          <w:color w:val="auto"/>
          <w:sz w:val="24"/>
          <w:highlight w:val="none"/>
          <w:lang w:eastAsia="zh-TW"/>
        </w:rPr>
        <w:t>中规定的。</w:t>
      </w:r>
    </w:p>
    <w:p>
      <w:pPr>
        <w:numPr>
          <w:ilvl w:val="1"/>
          <w:numId w:val="58"/>
        </w:numPr>
        <w:autoSpaceDE w:val="0"/>
        <w:autoSpaceDN w:val="0"/>
        <w:snapToGrid w:val="0"/>
        <w:spacing w:line="360" w:lineRule="auto"/>
        <w:rPr>
          <w:rFonts w:ascii="宋体" w:hAnsi="宋体" w:cs="宋体"/>
          <w:color w:val="auto"/>
          <w:sz w:val="24"/>
          <w:highlight w:val="none"/>
        </w:rPr>
      </w:pPr>
      <w:r>
        <w:rPr>
          <w:rFonts w:hint="eastAsia" w:ascii="宋体" w:hAnsi="宋体" w:cs="宋体"/>
          <w:color w:val="auto"/>
          <w:sz w:val="24"/>
          <w:highlight w:val="none"/>
          <w:lang w:eastAsia="zh-TW"/>
        </w:rPr>
        <w:t>投标人所报的投标价在合同执行过程中是固定不变的</w:t>
      </w:r>
      <w:r>
        <w:rPr>
          <w:rFonts w:hint="eastAsia" w:ascii="宋体" w:hAnsi="宋体" w:cs="宋体"/>
          <w:color w:val="auto"/>
          <w:sz w:val="24"/>
          <w:highlight w:val="none"/>
        </w:rPr>
        <w:t>，</w:t>
      </w:r>
      <w:r>
        <w:rPr>
          <w:rFonts w:hint="eastAsia" w:ascii="宋体" w:hAnsi="宋体" w:cs="宋体"/>
          <w:color w:val="auto"/>
          <w:sz w:val="24"/>
          <w:highlight w:val="none"/>
          <w:lang w:eastAsia="zh-TW"/>
        </w:rPr>
        <w:t>不得以任何理由予以变更。任何包含价格调整要求的投标被认为是非实质性响应投标而予以拒绝。</w:t>
      </w:r>
    </w:p>
    <w:p>
      <w:pPr>
        <w:numPr>
          <w:ilvl w:val="1"/>
          <w:numId w:val="58"/>
        </w:numPr>
        <w:autoSpaceDE w:val="0"/>
        <w:autoSpaceDN w:val="0"/>
        <w:snapToGrid w:val="0"/>
        <w:spacing w:line="360" w:lineRule="auto"/>
        <w:rPr>
          <w:rFonts w:ascii="宋体" w:hAnsi="宋体" w:cs="宋体"/>
          <w:b/>
          <w:strike/>
          <w:color w:val="auto"/>
          <w:sz w:val="24"/>
          <w:highlight w:val="none"/>
          <w:lang w:eastAsia="zh-TW"/>
        </w:rPr>
      </w:pPr>
      <w:r>
        <w:rPr>
          <w:rFonts w:hint="eastAsia" w:ascii="宋体" w:hAnsi="宋体"/>
          <w:color w:val="auto"/>
          <w:sz w:val="24"/>
          <w:highlight w:val="none"/>
        </w:rPr>
        <w:t>除</w:t>
      </w:r>
      <w:r>
        <w:rPr>
          <w:rFonts w:hint="eastAsia" w:ascii="宋体" w:hAnsi="宋体" w:cs="宋体"/>
          <w:b/>
          <w:color w:val="auto"/>
          <w:sz w:val="24"/>
          <w:highlight w:val="none"/>
          <w:lang w:eastAsia="zh-TW"/>
        </w:rPr>
        <w:t>投标人须知前附表</w:t>
      </w:r>
      <w:r>
        <w:rPr>
          <w:rFonts w:hint="eastAsia" w:ascii="宋体" w:hAnsi="宋体"/>
          <w:color w:val="auto"/>
          <w:sz w:val="24"/>
          <w:highlight w:val="none"/>
        </w:rPr>
        <w:t>中允许有备选方案外，本次招标不接受选择性报价，</w:t>
      </w:r>
      <w:r>
        <w:rPr>
          <w:rFonts w:hint="eastAsia" w:ascii="宋体" w:hAnsi="宋体" w:cs="宋体"/>
          <w:color w:val="auto"/>
          <w:sz w:val="24"/>
          <w:highlight w:val="none"/>
        </w:rPr>
        <w:t>否则将被视为</w:t>
      </w:r>
      <w:r>
        <w:rPr>
          <w:rFonts w:hint="eastAsia" w:ascii="宋体" w:hAnsi="宋体" w:cs="宋体"/>
          <w:b/>
          <w:color w:val="auto"/>
          <w:sz w:val="24"/>
          <w:highlight w:val="none"/>
        </w:rPr>
        <w:t>无效投标</w:t>
      </w:r>
      <w:r>
        <w:rPr>
          <w:rFonts w:hint="eastAsia" w:ascii="宋体" w:hAnsi="宋体" w:cs="宋体"/>
          <w:color w:val="auto"/>
          <w:sz w:val="24"/>
          <w:highlight w:val="none"/>
        </w:rPr>
        <w:t>。</w:t>
      </w:r>
    </w:p>
    <w:p>
      <w:pPr>
        <w:numPr>
          <w:ilvl w:val="1"/>
          <w:numId w:val="58"/>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olor w:val="auto"/>
          <w:sz w:val="24"/>
          <w:highlight w:val="none"/>
        </w:rPr>
        <w:t>本次招标不接受具有附加条件的报价，</w:t>
      </w:r>
      <w:r>
        <w:rPr>
          <w:rFonts w:hint="eastAsia" w:ascii="宋体" w:hAnsi="宋体" w:cs="宋体"/>
          <w:color w:val="auto"/>
          <w:sz w:val="24"/>
          <w:highlight w:val="none"/>
        </w:rPr>
        <w:t>否则将被视为</w:t>
      </w:r>
      <w:r>
        <w:rPr>
          <w:rFonts w:hint="eastAsia" w:ascii="宋体" w:hAnsi="宋体" w:cs="宋体"/>
          <w:b/>
          <w:color w:val="auto"/>
          <w:sz w:val="24"/>
          <w:highlight w:val="none"/>
        </w:rPr>
        <w:t>无效投标</w:t>
      </w:r>
      <w:r>
        <w:rPr>
          <w:rFonts w:hint="eastAsia" w:ascii="宋体" w:hAnsi="宋体" w:cs="宋体"/>
          <w:color w:val="auto"/>
          <w:sz w:val="24"/>
          <w:highlight w:val="none"/>
        </w:rPr>
        <w:t>。</w:t>
      </w:r>
    </w:p>
    <w:p>
      <w:pPr>
        <w:numPr>
          <w:ilvl w:val="0"/>
          <w:numId w:val="58"/>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投标货币</w:t>
      </w:r>
    </w:p>
    <w:p>
      <w:pPr>
        <w:numPr>
          <w:ilvl w:val="1"/>
          <w:numId w:val="58"/>
        </w:numPr>
        <w:autoSpaceDE w:val="0"/>
        <w:autoSpaceDN w:val="0"/>
        <w:snapToGrid w:val="0"/>
        <w:spacing w:line="360" w:lineRule="auto"/>
        <w:rPr>
          <w:rFonts w:ascii="宋体" w:hAnsi="宋体"/>
          <w:color w:val="auto"/>
          <w:sz w:val="24"/>
          <w:highlight w:val="none"/>
        </w:rPr>
      </w:pPr>
      <w:r>
        <w:rPr>
          <w:rFonts w:hint="eastAsia" w:ascii="宋体" w:hAnsi="宋体"/>
          <w:color w:val="auto"/>
          <w:sz w:val="24"/>
          <w:highlight w:val="none"/>
        </w:rPr>
        <w:t>投标人所提供的货物和服务均应以人民币报价。</w:t>
      </w:r>
    </w:p>
    <w:p>
      <w:pPr>
        <w:numPr>
          <w:ilvl w:val="0"/>
          <w:numId w:val="58"/>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联合体投标</w:t>
      </w:r>
    </w:p>
    <w:p>
      <w:pPr>
        <w:numPr>
          <w:ilvl w:val="1"/>
          <w:numId w:val="58"/>
        </w:numPr>
        <w:autoSpaceDE w:val="0"/>
        <w:autoSpaceDN w:val="0"/>
        <w:snapToGrid w:val="0"/>
        <w:spacing w:line="360" w:lineRule="auto"/>
        <w:rPr>
          <w:rFonts w:ascii="宋体" w:hAnsi="宋体" w:cs="黑体"/>
          <w:b/>
          <w:bCs/>
          <w:color w:val="auto"/>
          <w:sz w:val="24"/>
          <w:highlight w:val="none"/>
        </w:rPr>
      </w:pPr>
      <w:r>
        <w:rPr>
          <w:rFonts w:hint="eastAsia" w:ascii="宋体" w:hAnsi="宋体"/>
          <w:color w:val="auto"/>
          <w:sz w:val="24"/>
          <w:highlight w:val="none"/>
        </w:rPr>
        <w:t>除非</w:t>
      </w:r>
      <w:r>
        <w:rPr>
          <w:rFonts w:hint="eastAsia" w:ascii="宋体" w:hAnsi="宋体"/>
          <w:b/>
          <w:color w:val="auto"/>
          <w:sz w:val="24"/>
          <w:highlight w:val="none"/>
        </w:rPr>
        <w:t>投标邀请</w:t>
      </w:r>
      <w:r>
        <w:rPr>
          <w:rFonts w:hint="eastAsia" w:ascii="宋体" w:hAnsi="宋体"/>
          <w:color w:val="auto"/>
          <w:sz w:val="24"/>
          <w:highlight w:val="none"/>
        </w:rPr>
        <w:t>中另有规定，不接受联合体投标。如果投标邀请中规定允许联合体投标的，则必须满足：</w:t>
      </w:r>
    </w:p>
    <w:p>
      <w:pPr>
        <w:numPr>
          <w:ilvl w:val="2"/>
          <w:numId w:val="58"/>
        </w:numPr>
        <w:autoSpaceDE w:val="0"/>
        <w:autoSpaceDN w:val="0"/>
        <w:snapToGrid w:val="0"/>
        <w:spacing w:line="360" w:lineRule="auto"/>
        <w:rPr>
          <w:rFonts w:ascii="宋体" w:hAnsi="宋体"/>
          <w:color w:val="auto"/>
          <w:sz w:val="24"/>
          <w:highlight w:val="none"/>
        </w:rPr>
      </w:pPr>
      <w:r>
        <w:rPr>
          <w:rFonts w:hint="eastAsia" w:ascii="宋体" w:hAnsi="宋体"/>
          <w:color w:val="auto"/>
          <w:sz w:val="24"/>
          <w:highlight w:val="none"/>
        </w:rPr>
        <w:t>以联合体形式参加投标的，联合体各方均必须符合</w:t>
      </w:r>
      <w:r>
        <w:rPr>
          <w:rFonts w:hint="eastAsia" w:ascii="宋体" w:hAnsi="宋体"/>
          <w:bCs/>
          <w:color w:val="auto"/>
          <w:sz w:val="24"/>
          <w:highlight w:val="none"/>
        </w:rPr>
        <w:t>《中华人民共和国政府采购法》第二十二条第（一）至（六）项规定。</w:t>
      </w:r>
    </w:p>
    <w:p>
      <w:pPr>
        <w:numPr>
          <w:ilvl w:val="2"/>
          <w:numId w:val="58"/>
        </w:numPr>
        <w:autoSpaceDE w:val="0"/>
        <w:autoSpaceDN w:val="0"/>
        <w:snapToGrid w:val="0"/>
        <w:spacing w:line="360" w:lineRule="auto"/>
        <w:rPr>
          <w:rFonts w:ascii="宋体" w:hAnsi="宋体"/>
          <w:color w:val="auto"/>
          <w:sz w:val="24"/>
          <w:highlight w:val="none"/>
        </w:rPr>
      </w:pPr>
      <w:r>
        <w:rPr>
          <w:rFonts w:hint="eastAsia" w:ascii="宋体" w:hAnsi="宋体"/>
          <w:color w:val="auto"/>
          <w:sz w:val="24"/>
          <w:highlight w:val="none"/>
        </w:rPr>
        <w:t>联合体投标的，必须提供各方签订的联合投标协议，明确约定各方承担的工作和相应的责任。联合体各方签订联合投标协议书，不得再以自己名义单独在</w:t>
      </w:r>
      <w:r>
        <w:rPr>
          <w:rFonts w:hint="eastAsia" w:cs="宋体" w:asciiTheme="minorEastAsia" w:hAnsiTheme="minorEastAsia" w:eastAsiaTheme="minorEastAsia"/>
          <w:bCs/>
          <w:color w:val="auto"/>
          <w:sz w:val="24"/>
          <w:highlight w:val="none"/>
        </w:rPr>
        <w:t>本项目同一合同项下</w:t>
      </w:r>
      <w:r>
        <w:rPr>
          <w:rFonts w:hint="eastAsia" w:ascii="宋体" w:hAnsi="宋体"/>
          <w:color w:val="auto"/>
          <w:sz w:val="24"/>
          <w:highlight w:val="none"/>
        </w:rPr>
        <w:t>的投标，也不得组成新的联合体参加</w:t>
      </w:r>
      <w:r>
        <w:rPr>
          <w:rFonts w:hint="eastAsia" w:cs="宋体" w:asciiTheme="minorEastAsia" w:hAnsiTheme="minorEastAsia" w:eastAsiaTheme="minorEastAsia"/>
          <w:bCs/>
          <w:color w:val="auto"/>
          <w:sz w:val="24"/>
          <w:highlight w:val="none"/>
        </w:rPr>
        <w:t>本项目同一合同项下的</w:t>
      </w:r>
      <w:r>
        <w:rPr>
          <w:rFonts w:hint="eastAsia" w:ascii="宋体" w:hAnsi="宋体"/>
          <w:color w:val="auto"/>
          <w:sz w:val="24"/>
          <w:highlight w:val="none"/>
        </w:rPr>
        <w:t>投标。</w:t>
      </w:r>
    </w:p>
    <w:p>
      <w:pPr>
        <w:numPr>
          <w:ilvl w:val="2"/>
          <w:numId w:val="58"/>
        </w:numPr>
        <w:autoSpaceDE w:val="0"/>
        <w:autoSpaceDN w:val="0"/>
        <w:snapToGrid w:val="0"/>
        <w:spacing w:line="360" w:lineRule="auto"/>
        <w:rPr>
          <w:rFonts w:ascii="宋体" w:hAnsi="宋体"/>
          <w:color w:val="auto"/>
          <w:sz w:val="24"/>
          <w:highlight w:val="none"/>
        </w:rPr>
      </w:pPr>
      <w:r>
        <w:rPr>
          <w:rFonts w:hint="eastAsia" w:ascii="宋体" w:hAnsi="宋体"/>
          <w:color w:val="auto"/>
          <w:sz w:val="24"/>
          <w:highlight w:val="none"/>
        </w:rPr>
        <w:t>联合体中有同类资质的供应商按照联合体分工承担相同工作的，应当按照资质等级较低的供应商确定资质等级。</w:t>
      </w:r>
    </w:p>
    <w:p>
      <w:pPr>
        <w:numPr>
          <w:ilvl w:val="2"/>
          <w:numId w:val="58"/>
        </w:numPr>
        <w:tabs>
          <w:tab w:val="left" w:pos="851"/>
        </w:tabs>
        <w:autoSpaceDE w:val="0"/>
        <w:autoSpaceDN w:val="0"/>
        <w:snapToGrid w:val="0"/>
        <w:spacing w:line="360" w:lineRule="auto"/>
        <w:rPr>
          <w:rFonts w:ascii="宋体" w:hAnsi="宋体"/>
          <w:color w:val="auto"/>
          <w:sz w:val="24"/>
          <w:highlight w:val="none"/>
        </w:rPr>
      </w:pPr>
      <w:r>
        <w:rPr>
          <w:rFonts w:hint="eastAsia" w:ascii="宋体" w:hAnsi="宋体"/>
          <w:color w:val="auto"/>
          <w:sz w:val="24"/>
          <w:highlight w:val="none"/>
        </w:rPr>
        <w:t>联合体投标的，可以由联合体中的一方或者共同提交投标保证金，以一方名义提交投标保证金的，对联合体各方均具有约束力。</w:t>
      </w:r>
    </w:p>
    <w:p>
      <w:pPr>
        <w:numPr>
          <w:ilvl w:val="1"/>
          <w:numId w:val="58"/>
        </w:numPr>
        <w:autoSpaceDE w:val="0"/>
        <w:autoSpaceDN w:val="0"/>
        <w:snapToGrid w:val="0"/>
        <w:spacing w:line="360" w:lineRule="auto"/>
        <w:rPr>
          <w:rFonts w:ascii="宋体" w:hAnsi="宋体"/>
          <w:color w:val="auto"/>
          <w:sz w:val="24"/>
          <w:highlight w:val="none"/>
        </w:rPr>
      </w:pPr>
      <w:r>
        <w:rPr>
          <w:rFonts w:ascii="宋体" w:hAnsi="宋体"/>
          <w:color w:val="auto"/>
          <w:sz w:val="24"/>
          <w:highlight w:val="none"/>
        </w:rPr>
        <w:t>联合体中标的，联合体各方应当共同与</w:t>
      </w:r>
      <w:r>
        <w:rPr>
          <w:rFonts w:hint="eastAsia" w:ascii="宋体" w:hAnsi="宋体"/>
          <w:color w:val="auto"/>
          <w:sz w:val="24"/>
          <w:highlight w:val="none"/>
        </w:rPr>
        <w:t>采购</w:t>
      </w:r>
      <w:r>
        <w:rPr>
          <w:rFonts w:ascii="宋体" w:hAnsi="宋体"/>
          <w:color w:val="auto"/>
          <w:sz w:val="24"/>
          <w:highlight w:val="none"/>
        </w:rPr>
        <w:t>人签订合同。</w:t>
      </w:r>
    </w:p>
    <w:p>
      <w:pPr>
        <w:numPr>
          <w:ilvl w:val="0"/>
          <w:numId w:val="58"/>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证明投标人合格和资格的文件</w:t>
      </w:r>
    </w:p>
    <w:p>
      <w:pPr>
        <w:numPr>
          <w:ilvl w:val="1"/>
          <w:numId w:val="58"/>
        </w:numPr>
        <w:autoSpaceDE w:val="0"/>
        <w:autoSpaceDN w:val="0"/>
        <w:snapToGrid w:val="0"/>
        <w:spacing w:line="360" w:lineRule="auto"/>
        <w:rPr>
          <w:rFonts w:ascii="宋体" w:hAnsi="宋体" w:cs="黑体"/>
          <w:b/>
          <w:bCs/>
          <w:color w:val="auto"/>
          <w:sz w:val="24"/>
          <w:highlight w:val="none"/>
        </w:rPr>
      </w:pPr>
      <w:r>
        <w:rPr>
          <w:rFonts w:hint="eastAsia" w:ascii="宋体" w:hAnsi="宋体" w:cs="宋体"/>
          <w:color w:val="auto"/>
          <w:sz w:val="24"/>
          <w:highlight w:val="none"/>
          <w:lang w:eastAsia="zh-TW"/>
        </w:rPr>
        <w:t>投标人应提交证明其有资格参加投标和中标后有能力履行合同的文件</w:t>
      </w:r>
      <w:r>
        <w:rPr>
          <w:rFonts w:hint="eastAsia" w:ascii="宋体" w:hAnsi="宋体" w:cs="宋体"/>
          <w:color w:val="auto"/>
          <w:sz w:val="24"/>
          <w:highlight w:val="none"/>
        </w:rPr>
        <w:t>，</w:t>
      </w:r>
      <w:r>
        <w:rPr>
          <w:rFonts w:hint="eastAsia" w:ascii="宋体" w:hAnsi="宋体" w:cs="宋体"/>
          <w:color w:val="auto"/>
          <w:sz w:val="24"/>
          <w:highlight w:val="none"/>
          <w:lang w:eastAsia="zh-TW"/>
        </w:rPr>
        <w:t>并作为其投标文件的一部分。如果投标人为联合体</w:t>
      </w:r>
      <w:r>
        <w:rPr>
          <w:rFonts w:hint="eastAsia" w:ascii="宋体" w:hAnsi="宋体" w:cs="宋体"/>
          <w:color w:val="auto"/>
          <w:sz w:val="24"/>
          <w:highlight w:val="none"/>
        </w:rPr>
        <w:t>，</w:t>
      </w:r>
      <w:r>
        <w:rPr>
          <w:rFonts w:hint="eastAsia" w:ascii="宋体" w:hAnsi="宋体" w:cs="宋体"/>
          <w:color w:val="auto"/>
          <w:sz w:val="24"/>
          <w:highlight w:val="none"/>
          <w:lang w:eastAsia="zh-TW"/>
        </w:rPr>
        <w:t>应提交联合体各方的资格证明文件、联合投标协议并注明主</w:t>
      </w:r>
      <w:r>
        <w:rPr>
          <w:rFonts w:hint="eastAsia" w:ascii="宋体" w:hAnsi="宋体" w:cs="宋体"/>
          <w:color w:val="auto"/>
          <w:sz w:val="24"/>
          <w:highlight w:val="none"/>
        </w:rPr>
        <w:t>体方及各方拟承担的工作和责任。</w:t>
      </w:r>
      <w:r>
        <w:rPr>
          <w:rFonts w:hint="eastAsia" w:ascii="宋体" w:hAnsi="宋体" w:cs="宋体"/>
          <w:color w:val="auto"/>
          <w:sz w:val="24"/>
          <w:highlight w:val="none"/>
          <w:lang w:eastAsia="zh-TW"/>
        </w:rPr>
        <w:t>否则</w:t>
      </w:r>
      <w:r>
        <w:rPr>
          <w:rFonts w:hint="eastAsia" w:ascii="宋体" w:hAnsi="宋体" w:cs="宋体"/>
          <w:color w:val="auto"/>
          <w:sz w:val="24"/>
          <w:highlight w:val="none"/>
        </w:rPr>
        <w:t>，</w:t>
      </w:r>
      <w:r>
        <w:rPr>
          <w:rFonts w:hint="eastAsia" w:ascii="宋体" w:hAnsi="宋体" w:cs="宋体"/>
          <w:color w:val="auto"/>
          <w:sz w:val="24"/>
          <w:highlight w:val="none"/>
          <w:lang w:eastAsia="zh-TW"/>
        </w:rPr>
        <w:t>将导致其</w:t>
      </w:r>
      <w:r>
        <w:rPr>
          <w:rFonts w:hint="eastAsia" w:ascii="宋体" w:hAnsi="宋体" w:cs="宋体"/>
          <w:b/>
          <w:color w:val="auto"/>
          <w:sz w:val="24"/>
          <w:highlight w:val="none"/>
          <w:lang w:eastAsia="zh-TW"/>
        </w:rPr>
        <w:t>投标</w:t>
      </w:r>
      <w:r>
        <w:rPr>
          <w:rFonts w:hint="eastAsia" w:ascii="宋体" w:hAnsi="宋体" w:cs="宋体"/>
          <w:b/>
          <w:color w:val="auto"/>
          <w:sz w:val="24"/>
          <w:highlight w:val="none"/>
        </w:rPr>
        <w:t>无效</w:t>
      </w:r>
      <w:r>
        <w:rPr>
          <w:rFonts w:hint="eastAsia" w:ascii="宋体" w:hAnsi="宋体" w:cs="宋体"/>
          <w:color w:val="auto"/>
          <w:sz w:val="24"/>
          <w:highlight w:val="none"/>
        </w:rPr>
        <w:t>。</w:t>
      </w:r>
    </w:p>
    <w:p>
      <w:pPr>
        <w:numPr>
          <w:ilvl w:val="1"/>
          <w:numId w:val="58"/>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投标人提交的资格证明文件应证明其</w:t>
      </w:r>
      <w:r>
        <w:rPr>
          <w:rFonts w:hint="eastAsia" w:ascii="宋体" w:hAnsi="宋体" w:cs="宋体"/>
          <w:color w:val="auto"/>
          <w:sz w:val="24"/>
          <w:highlight w:val="none"/>
        </w:rPr>
        <w:t>满足</w:t>
      </w:r>
      <w:r>
        <w:rPr>
          <w:rFonts w:hint="eastAsia" w:ascii="宋体"/>
          <w:bCs/>
          <w:color w:val="auto"/>
          <w:sz w:val="24"/>
          <w:highlight w:val="none"/>
        </w:rPr>
        <w:t>投标人的资格要求</w:t>
      </w:r>
      <w:r>
        <w:rPr>
          <w:rFonts w:hint="eastAsia" w:ascii="宋体" w:hAnsi="宋体" w:cs="宋体"/>
          <w:color w:val="auto"/>
          <w:sz w:val="24"/>
          <w:highlight w:val="none"/>
          <w:lang w:eastAsia="zh-TW"/>
        </w:rPr>
        <w:t>。</w:t>
      </w:r>
    </w:p>
    <w:p>
      <w:pPr>
        <w:numPr>
          <w:ilvl w:val="0"/>
          <w:numId w:val="58"/>
        </w:numPr>
        <w:autoSpaceDE w:val="0"/>
        <w:autoSpaceDN w:val="0"/>
        <w:snapToGrid w:val="0"/>
        <w:spacing w:line="360" w:lineRule="auto"/>
        <w:ind w:left="487" w:hanging="487" w:hangingChars="202"/>
        <w:outlineLvl w:val="3"/>
        <w:rPr>
          <w:rFonts w:ascii="宋体" w:hAnsi="宋体"/>
          <w:b/>
          <w:bCs/>
          <w:color w:val="auto"/>
          <w:sz w:val="24"/>
          <w:highlight w:val="none"/>
        </w:rPr>
      </w:pPr>
      <w:r>
        <w:rPr>
          <w:rFonts w:ascii="宋体" w:hAnsi="宋体"/>
          <w:b/>
          <w:bCs/>
          <w:color w:val="auto"/>
          <w:sz w:val="24"/>
          <w:highlight w:val="none"/>
        </w:rPr>
        <w:t>证明投标标的的合格性和符合招标文件规定的文件</w:t>
      </w:r>
    </w:p>
    <w:p>
      <w:pPr>
        <w:numPr>
          <w:ilvl w:val="1"/>
          <w:numId w:val="58"/>
        </w:numPr>
        <w:autoSpaceDE w:val="0"/>
        <w:autoSpaceDN w:val="0"/>
        <w:snapToGrid w:val="0"/>
        <w:spacing w:line="360" w:lineRule="auto"/>
        <w:rPr>
          <w:rFonts w:ascii="宋体" w:hAnsi="宋体" w:cs="黑体"/>
          <w:b/>
          <w:bCs/>
          <w:color w:val="auto"/>
          <w:sz w:val="24"/>
          <w:highlight w:val="none"/>
        </w:rPr>
      </w:pPr>
      <w:r>
        <w:rPr>
          <w:rFonts w:hint="eastAsia" w:ascii="宋体" w:hAnsi="宋体" w:cs="宋体"/>
          <w:color w:val="auto"/>
          <w:sz w:val="24"/>
          <w:highlight w:val="none"/>
          <w:lang w:eastAsia="zh-TW"/>
        </w:rPr>
        <w:t>投标人应提交证明文件</w:t>
      </w:r>
      <w:r>
        <w:rPr>
          <w:rFonts w:hint="eastAsia" w:ascii="宋体" w:hAnsi="宋体" w:cs="宋体"/>
          <w:color w:val="auto"/>
          <w:sz w:val="24"/>
          <w:highlight w:val="none"/>
        </w:rPr>
        <w:t>，</w:t>
      </w:r>
      <w:r>
        <w:rPr>
          <w:rFonts w:hint="eastAsia" w:ascii="宋体" w:hAnsi="宋体" w:cs="宋体"/>
          <w:color w:val="auto"/>
          <w:sz w:val="24"/>
          <w:highlight w:val="none"/>
          <w:lang w:eastAsia="zh-TW"/>
        </w:rPr>
        <w:t>证明其拟</w:t>
      </w:r>
      <w:r>
        <w:rPr>
          <w:rFonts w:hint="eastAsia" w:ascii="宋体" w:hAnsi="宋体" w:cs="宋体"/>
          <w:color w:val="auto"/>
          <w:sz w:val="24"/>
          <w:highlight w:val="none"/>
        </w:rPr>
        <w:t>投标</w:t>
      </w:r>
      <w:r>
        <w:rPr>
          <w:rFonts w:hint="eastAsia" w:ascii="宋体" w:hAnsi="宋体" w:cs="宋体"/>
          <w:color w:val="auto"/>
          <w:sz w:val="24"/>
          <w:highlight w:val="none"/>
          <w:lang w:eastAsia="zh-TW"/>
        </w:rPr>
        <w:t>的货物和服务的合格性符合招标文件规定。该证明文件作为投标文件的一部分。</w:t>
      </w:r>
    </w:p>
    <w:p>
      <w:pPr>
        <w:numPr>
          <w:ilvl w:val="1"/>
          <w:numId w:val="58"/>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货物和服务合格性的证明文件应包括投标分项报价表中对货物和服务原产地的说明。</w:t>
      </w:r>
    </w:p>
    <w:p>
      <w:pPr>
        <w:numPr>
          <w:ilvl w:val="1"/>
          <w:numId w:val="58"/>
        </w:numPr>
        <w:autoSpaceDE w:val="0"/>
        <w:autoSpaceDN w:val="0"/>
        <w:snapToGrid w:val="0"/>
        <w:spacing w:line="360" w:lineRule="auto"/>
        <w:rPr>
          <w:rFonts w:ascii="宋体" w:hAnsi="宋体"/>
          <w:strike/>
          <w:color w:val="auto"/>
          <w:sz w:val="24"/>
          <w:highlight w:val="none"/>
        </w:rPr>
      </w:pPr>
      <w:r>
        <w:rPr>
          <w:rFonts w:hint="eastAsia" w:ascii="宋体" w:hAnsi="宋体" w:cs="宋体"/>
          <w:color w:val="auto"/>
          <w:sz w:val="24"/>
          <w:highlight w:val="none"/>
          <w:lang w:eastAsia="zh-TW"/>
        </w:rPr>
        <w:t>证明货物和服务与招标文件的要求相一致的文件，可以是文字资料、图纸和数据</w:t>
      </w:r>
      <w:r>
        <w:rPr>
          <w:rFonts w:hint="eastAsia" w:ascii="宋体" w:hAnsi="宋体" w:cs="宋体"/>
          <w:color w:val="auto"/>
          <w:sz w:val="24"/>
          <w:highlight w:val="none"/>
        </w:rPr>
        <w:t>。</w:t>
      </w:r>
    </w:p>
    <w:p>
      <w:pPr>
        <w:numPr>
          <w:ilvl w:val="0"/>
          <w:numId w:val="58"/>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投标保证金</w:t>
      </w:r>
    </w:p>
    <w:p>
      <w:pPr>
        <w:numPr>
          <w:ilvl w:val="1"/>
          <w:numId w:val="58"/>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投标人应</w:t>
      </w:r>
      <w:r>
        <w:rPr>
          <w:rFonts w:hint="eastAsia" w:ascii="宋体" w:hAnsi="宋体" w:cs="宋体"/>
          <w:color w:val="auto"/>
          <w:sz w:val="24"/>
          <w:highlight w:val="none"/>
        </w:rPr>
        <w:t>按</w:t>
      </w:r>
      <w:r>
        <w:rPr>
          <w:rFonts w:hint="eastAsia" w:ascii="宋体" w:hAnsi="宋体" w:cs="宋体"/>
          <w:b/>
          <w:color w:val="auto"/>
          <w:sz w:val="24"/>
          <w:highlight w:val="none"/>
          <w:lang w:eastAsia="zh-TW"/>
        </w:rPr>
        <w:t>投标人须知前附表</w:t>
      </w:r>
      <w:r>
        <w:rPr>
          <w:rFonts w:hint="eastAsia" w:ascii="宋体" w:hAnsi="宋体" w:cs="宋体"/>
          <w:color w:val="auto"/>
          <w:sz w:val="24"/>
          <w:highlight w:val="none"/>
          <w:lang w:eastAsia="zh-TW"/>
        </w:rPr>
        <w:t>中规定</w:t>
      </w:r>
      <w:r>
        <w:rPr>
          <w:rFonts w:hint="eastAsia" w:ascii="宋体" w:hAnsi="宋体" w:cs="宋体"/>
          <w:color w:val="auto"/>
          <w:sz w:val="24"/>
          <w:highlight w:val="none"/>
        </w:rPr>
        <w:t>缴纳</w:t>
      </w:r>
      <w:r>
        <w:rPr>
          <w:rFonts w:hint="eastAsia" w:ascii="宋体" w:hAnsi="宋体" w:cs="宋体"/>
          <w:color w:val="auto"/>
          <w:sz w:val="24"/>
          <w:highlight w:val="none"/>
          <w:lang w:eastAsia="zh-TW"/>
        </w:rPr>
        <w:t>投标保证金</w:t>
      </w:r>
      <w:r>
        <w:rPr>
          <w:rFonts w:hint="eastAsia" w:ascii="宋体" w:hAnsi="宋体" w:cs="宋体"/>
          <w:color w:val="auto"/>
          <w:sz w:val="24"/>
          <w:highlight w:val="none"/>
        </w:rPr>
        <w:t>，</w:t>
      </w:r>
      <w:r>
        <w:rPr>
          <w:rFonts w:hint="eastAsia" w:ascii="宋体" w:hAnsi="宋体" w:cs="宋体"/>
          <w:color w:val="auto"/>
          <w:sz w:val="24"/>
          <w:highlight w:val="none"/>
          <w:lang w:eastAsia="zh-TW"/>
        </w:rPr>
        <w:t>并作为其投标</w:t>
      </w:r>
      <w:r>
        <w:rPr>
          <w:rFonts w:hint="eastAsia" w:ascii="宋体" w:hAnsi="宋体" w:cs="宋体"/>
          <w:color w:val="auto"/>
          <w:sz w:val="24"/>
          <w:highlight w:val="none"/>
        </w:rPr>
        <w:t>文件的组成</w:t>
      </w:r>
      <w:r>
        <w:rPr>
          <w:rFonts w:hint="eastAsia" w:ascii="宋体" w:hAnsi="宋体" w:cs="宋体"/>
          <w:color w:val="auto"/>
          <w:sz w:val="24"/>
          <w:highlight w:val="none"/>
          <w:lang w:eastAsia="zh-TW"/>
        </w:rPr>
        <w:t>部分。</w:t>
      </w:r>
      <w:r>
        <w:rPr>
          <w:rFonts w:hint="eastAsia" w:ascii="宋体" w:hAnsi="宋体" w:cs="宋体"/>
          <w:color w:val="auto"/>
          <w:sz w:val="24"/>
          <w:highlight w:val="none"/>
        </w:rPr>
        <w:t>投标保证金有效期应当与投标有效期一致。</w:t>
      </w:r>
    </w:p>
    <w:p>
      <w:pPr>
        <w:numPr>
          <w:ilvl w:val="1"/>
          <w:numId w:val="58"/>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numPr>
          <w:ilvl w:val="1"/>
          <w:numId w:val="58"/>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未中标的投标人保证金，在中标通知书发出之日起5个工作日内，但因投标人自身原因导致无法及时退还的除外。</w:t>
      </w:r>
    </w:p>
    <w:p>
      <w:pPr>
        <w:numPr>
          <w:ilvl w:val="1"/>
          <w:numId w:val="58"/>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中标人的投标保证金，在中标人与采购人签订采购合同之日起5个工作日内，或者转为中标人的履约保证金，但因投标人自身原因导致无法及时退还的除外。</w:t>
      </w:r>
    </w:p>
    <w:p>
      <w:pPr>
        <w:numPr>
          <w:ilvl w:val="1"/>
          <w:numId w:val="58"/>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下列任一情形发生时，投标保证金将不予退还：</w:t>
      </w:r>
    </w:p>
    <w:p>
      <w:pPr>
        <w:numPr>
          <w:ilvl w:val="2"/>
          <w:numId w:val="58"/>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投标人在招标文件中规定的投标有效期内撤销其投标文件；</w:t>
      </w:r>
    </w:p>
    <w:p>
      <w:pPr>
        <w:numPr>
          <w:ilvl w:val="2"/>
          <w:numId w:val="58"/>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中标后无正当理由放弃中标或中标人拒绝与采购人签订合同；</w:t>
      </w:r>
    </w:p>
    <w:p>
      <w:pPr>
        <w:numPr>
          <w:ilvl w:val="0"/>
          <w:numId w:val="58"/>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投标有效期</w:t>
      </w:r>
    </w:p>
    <w:p>
      <w:pPr>
        <w:numPr>
          <w:ilvl w:val="1"/>
          <w:numId w:val="58"/>
        </w:numPr>
        <w:autoSpaceDE w:val="0"/>
        <w:autoSpaceDN w:val="0"/>
        <w:snapToGrid w:val="0"/>
        <w:spacing w:line="360" w:lineRule="auto"/>
        <w:rPr>
          <w:rFonts w:ascii="宋体" w:hAnsi="宋体" w:cs="黑体"/>
          <w:b/>
          <w:bCs/>
          <w:color w:val="auto"/>
          <w:sz w:val="24"/>
          <w:highlight w:val="none"/>
        </w:rPr>
      </w:pPr>
      <w:r>
        <w:rPr>
          <w:rFonts w:hint="eastAsia" w:ascii="宋体" w:hAnsi="宋体" w:cs="宋体"/>
          <w:color w:val="auto"/>
          <w:sz w:val="24"/>
          <w:highlight w:val="none"/>
          <w:lang w:eastAsia="zh-TW"/>
        </w:rPr>
        <w:t>投标应自</w:t>
      </w:r>
      <w:r>
        <w:rPr>
          <w:rFonts w:hint="eastAsia" w:ascii="宋体" w:hAnsi="宋体" w:cs="宋体"/>
          <w:b/>
          <w:color w:val="auto"/>
          <w:sz w:val="24"/>
          <w:highlight w:val="none"/>
          <w:lang w:eastAsia="zh-TW"/>
        </w:rPr>
        <w:t>投标人须知前附表</w:t>
      </w:r>
      <w:r>
        <w:rPr>
          <w:rFonts w:hint="eastAsia" w:ascii="宋体" w:hAnsi="宋体" w:cs="宋体"/>
          <w:color w:val="auto"/>
          <w:sz w:val="24"/>
          <w:highlight w:val="none"/>
          <w:lang w:eastAsia="zh-TW"/>
        </w:rPr>
        <w:t>中规定的投标有效期从提交投标文件的截止之日起算，并</w:t>
      </w:r>
      <w:r>
        <w:rPr>
          <w:rFonts w:hint="eastAsia" w:ascii="宋体" w:hAnsi="宋体" w:cs="宋体"/>
          <w:color w:val="auto"/>
          <w:sz w:val="24"/>
          <w:highlight w:val="none"/>
        </w:rPr>
        <w:t>与</w:t>
      </w:r>
      <w:r>
        <w:rPr>
          <w:rFonts w:hint="eastAsia" w:ascii="宋体" w:hAnsi="宋体" w:cs="宋体"/>
          <w:b/>
          <w:color w:val="auto"/>
          <w:sz w:val="24"/>
          <w:highlight w:val="none"/>
          <w:lang w:eastAsia="zh-TW"/>
        </w:rPr>
        <w:t>投标人须知前附表</w:t>
      </w:r>
      <w:r>
        <w:rPr>
          <w:rFonts w:hint="eastAsia" w:ascii="宋体" w:hAnsi="宋体" w:cs="宋体"/>
          <w:color w:val="auto"/>
          <w:sz w:val="24"/>
          <w:highlight w:val="none"/>
          <w:lang w:eastAsia="zh-TW"/>
        </w:rPr>
        <w:t>中所述期限内保持有效。</w:t>
      </w:r>
    </w:p>
    <w:p>
      <w:pPr>
        <w:numPr>
          <w:ilvl w:val="1"/>
          <w:numId w:val="58"/>
        </w:numPr>
        <w:autoSpaceDE w:val="0"/>
        <w:autoSpaceDN w:val="0"/>
        <w:snapToGrid w:val="0"/>
        <w:spacing w:line="360" w:lineRule="auto"/>
        <w:rPr>
          <w:rFonts w:ascii="宋体" w:hAnsi="宋体"/>
          <w:color w:val="auto"/>
          <w:sz w:val="24"/>
          <w:highlight w:val="none"/>
        </w:rPr>
      </w:pPr>
      <w:r>
        <w:rPr>
          <w:rFonts w:hint="eastAsia" w:ascii="宋体" w:hAnsi="宋体" w:cs="宋体"/>
          <w:color w:val="auto"/>
          <w:sz w:val="24"/>
          <w:highlight w:val="none"/>
          <w:lang w:eastAsia="zh-TW"/>
        </w:rPr>
        <w:t>特殊情况下</w:t>
      </w:r>
      <w:r>
        <w:rPr>
          <w:rFonts w:hint="eastAsia" w:ascii="宋体" w:hAnsi="宋体" w:cs="宋体"/>
          <w:color w:val="auto"/>
          <w:sz w:val="24"/>
          <w:highlight w:val="none"/>
        </w:rPr>
        <w:t>，</w:t>
      </w:r>
      <w:r>
        <w:rPr>
          <w:rFonts w:hint="eastAsia" w:ascii="宋体" w:hAnsi="宋体" w:cs="宋体"/>
          <w:color w:val="auto"/>
          <w:sz w:val="24"/>
          <w:highlight w:val="none"/>
          <w:lang w:eastAsia="zh-TW"/>
        </w:rPr>
        <w:t>在原投标有效期截止之前</w:t>
      </w:r>
      <w:r>
        <w:rPr>
          <w:rFonts w:hint="eastAsia" w:ascii="宋体" w:hAnsi="宋体" w:cs="宋体"/>
          <w:color w:val="auto"/>
          <w:sz w:val="24"/>
          <w:highlight w:val="none"/>
        </w:rPr>
        <w:t>，</w:t>
      </w:r>
      <w:r>
        <w:rPr>
          <w:rFonts w:hint="eastAsia" w:ascii="宋体" w:hAnsi="宋体" w:cs="宋体"/>
          <w:color w:val="auto"/>
          <w:sz w:val="24"/>
          <w:highlight w:val="none"/>
          <w:lang w:eastAsia="zh-TW"/>
        </w:rPr>
        <w:t>采购代理机构可要求投标人延长投标有效期。这种要求与答复均应以书面形式提交。投标人可拒绝采购代理机构的这种要求</w:t>
      </w:r>
      <w:r>
        <w:rPr>
          <w:rFonts w:hint="eastAsia" w:ascii="宋体" w:hAnsi="宋体" w:cs="宋体"/>
          <w:color w:val="auto"/>
          <w:sz w:val="24"/>
          <w:highlight w:val="none"/>
        </w:rPr>
        <w:t>，</w:t>
      </w:r>
      <w:r>
        <w:rPr>
          <w:rFonts w:hint="eastAsia" w:ascii="宋体" w:hAnsi="宋体" w:cs="宋体"/>
          <w:color w:val="auto"/>
          <w:sz w:val="24"/>
          <w:highlight w:val="none"/>
          <w:lang w:eastAsia="zh-TW"/>
        </w:rPr>
        <w:t>其投标保证金将</w:t>
      </w:r>
      <w:r>
        <w:rPr>
          <w:rFonts w:hint="eastAsia" w:ascii="宋体" w:hAnsi="宋体" w:cs="宋体"/>
          <w:color w:val="auto"/>
          <w:sz w:val="24"/>
          <w:highlight w:val="none"/>
        </w:rPr>
        <w:t>予以退还，</w:t>
      </w:r>
      <w:r>
        <w:rPr>
          <w:rFonts w:hint="eastAsia" w:ascii="宋体" w:hAnsi="宋体" w:cs="宋体"/>
          <w:color w:val="auto"/>
          <w:sz w:val="24"/>
          <w:highlight w:val="none"/>
          <w:lang w:eastAsia="zh-TW"/>
        </w:rPr>
        <w:t>但其投标在原投标有效期期满后将不再有效。同意延长投标有效期的投标人将不会被要求和允许修正其投标</w:t>
      </w:r>
      <w:r>
        <w:rPr>
          <w:rFonts w:hint="eastAsia" w:ascii="宋体" w:hAnsi="宋体" w:cs="宋体"/>
          <w:color w:val="auto"/>
          <w:sz w:val="24"/>
          <w:highlight w:val="none"/>
        </w:rPr>
        <w:t>，</w:t>
      </w:r>
      <w:r>
        <w:rPr>
          <w:rFonts w:hint="eastAsia" w:ascii="宋体" w:hAnsi="宋体" w:cs="宋体"/>
          <w:color w:val="auto"/>
          <w:sz w:val="24"/>
          <w:highlight w:val="none"/>
          <w:lang w:eastAsia="zh-TW"/>
        </w:rPr>
        <w:t>而只会被要求相应地延长其投标保证金的有效期。在这种情况下</w:t>
      </w:r>
      <w:r>
        <w:rPr>
          <w:rFonts w:hint="eastAsia" w:ascii="宋体" w:hAnsi="宋体" w:cs="宋体"/>
          <w:color w:val="auto"/>
          <w:sz w:val="24"/>
          <w:highlight w:val="none"/>
        </w:rPr>
        <w:t>，</w:t>
      </w:r>
      <w:r>
        <w:rPr>
          <w:rFonts w:hint="eastAsia" w:ascii="宋体" w:hAnsi="宋体" w:cs="宋体"/>
          <w:color w:val="auto"/>
          <w:sz w:val="24"/>
          <w:highlight w:val="none"/>
          <w:lang w:eastAsia="zh-TW"/>
        </w:rPr>
        <w:t>本须知有关投标保证金的退还和</w:t>
      </w:r>
      <w:r>
        <w:rPr>
          <w:rFonts w:hint="eastAsia" w:ascii="宋体" w:hAnsi="宋体" w:cs="宋体"/>
          <w:color w:val="auto"/>
          <w:sz w:val="24"/>
          <w:highlight w:val="none"/>
        </w:rPr>
        <w:t>不予退还</w:t>
      </w:r>
      <w:r>
        <w:rPr>
          <w:rFonts w:hint="eastAsia" w:ascii="宋体" w:hAnsi="宋体" w:cs="宋体"/>
          <w:color w:val="auto"/>
          <w:sz w:val="24"/>
          <w:highlight w:val="none"/>
          <w:lang w:eastAsia="zh-TW"/>
        </w:rPr>
        <w:t>的规定将在延长了的有效期内继续有效。</w:t>
      </w:r>
    </w:p>
    <w:p>
      <w:pPr>
        <w:numPr>
          <w:ilvl w:val="0"/>
          <w:numId w:val="55"/>
        </w:numPr>
        <w:tabs>
          <w:tab w:val="left" w:pos="4395"/>
        </w:tabs>
        <w:autoSpaceDE w:val="0"/>
        <w:autoSpaceDN w:val="0"/>
        <w:snapToGrid w:val="0"/>
        <w:spacing w:line="360" w:lineRule="auto"/>
        <w:ind w:hanging="5399"/>
        <w:jc w:val="center"/>
        <w:outlineLvl w:val="2"/>
        <w:rPr>
          <w:rFonts w:ascii="宋体" w:hAnsi="宋体"/>
          <w:b/>
          <w:color w:val="auto"/>
          <w:sz w:val="28"/>
          <w:szCs w:val="28"/>
          <w:highlight w:val="none"/>
          <w:lang w:eastAsia="zh-TW"/>
        </w:rPr>
      </w:pPr>
      <w:bookmarkStart w:id="37" w:name="_Toc435174936"/>
      <w:bookmarkStart w:id="38" w:name="_Toc438223139"/>
      <w:bookmarkStart w:id="39" w:name="_Toc435516653"/>
      <w:bookmarkStart w:id="40" w:name="_Toc516"/>
      <w:r>
        <w:rPr>
          <w:rFonts w:hint="eastAsia" w:ascii="宋体" w:hAnsi="宋体"/>
          <w:b/>
          <w:color w:val="auto"/>
          <w:sz w:val="28"/>
          <w:szCs w:val="28"/>
          <w:highlight w:val="none"/>
          <w:lang w:eastAsia="zh-TW"/>
        </w:rPr>
        <w:t>投标文件的递交</w:t>
      </w:r>
      <w:bookmarkEnd w:id="37"/>
      <w:bookmarkEnd w:id="38"/>
      <w:bookmarkEnd w:id="39"/>
      <w:bookmarkEnd w:id="40"/>
    </w:p>
    <w:p>
      <w:pPr>
        <w:numPr>
          <w:ilvl w:val="0"/>
          <w:numId w:val="61"/>
        </w:numPr>
        <w:autoSpaceDE w:val="0"/>
        <w:autoSpaceDN w:val="0"/>
        <w:snapToGrid w:val="0"/>
        <w:spacing w:line="360" w:lineRule="auto"/>
        <w:outlineLvl w:val="3"/>
        <w:rPr>
          <w:rFonts w:ascii="宋体" w:hAnsi="宋体"/>
          <w:b/>
          <w:bCs/>
          <w:color w:val="auto"/>
          <w:sz w:val="24"/>
          <w:highlight w:val="none"/>
        </w:rPr>
      </w:pPr>
      <w:r>
        <w:rPr>
          <w:rFonts w:hint="eastAsia" w:ascii="宋体" w:hAnsi="宋体"/>
          <w:b/>
          <w:bCs/>
          <w:color w:val="auto"/>
          <w:sz w:val="24"/>
          <w:highlight w:val="none"/>
        </w:rPr>
        <w:t>投标文件递交</w:t>
      </w:r>
    </w:p>
    <w:p>
      <w:pPr>
        <w:numPr>
          <w:ilvl w:val="1"/>
          <w:numId w:val="61"/>
        </w:numPr>
        <w:autoSpaceDE w:val="0"/>
        <w:autoSpaceDN w:val="0"/>
        <w:snapToGrid w:val="0"/>
        <w:spacing w:line="360" w:lineRule="auto"/>
        <w:rPr>
          <w:rFonts w:ascii="宋体" w:hAnsi="宋体" w:cs="黑体"/>
          <w:b/>
          <w:bCs/>
          <w:color w:val="auto"/>
          <w:sz w:val="24"/>
          <w:highlight w:val="none"/>
        </w:rPr>
      </w:pPr>
      <w:r>
        <w:rPr>
          <w:rFonts w:hint="eastAsia" w:ascii="宋体" w:hAnsi="宋体" w:cs="宋体"/>
          <w:color w:val="auto"/>
          <w:sz w:val="24"/>
          <w:highlight w:val="none"/>
          <w:lang w:eastAsia="zh-TW"/>
        </w:rPr>
        <w:t>投标人</w:t>
      </w:r>
      <w:r>
        <w:rPr>
          <w:rFonts w:hint="eastAsia" w:ascii="宋体" w:hAnsi="宋体" w:cs="宋体"/>
          <w:color w:val="auto"/>
          <w:sz w:val="24"/>
          <w:highlight w:val="none"/>
        </w:rPr>
        <w:t>的投标文件</w:t>
      </w:r>
      <w:r>
        <w:rPr>
          <w:rFonts w:hint="eastAsia" w:ascii="宋体" w:hAnsi="宋体" w:cs="宋体"/>
          <w:color w:val="auto"/>
          <w:sz w:val="24"/>
          <w:highlight w:val="none"/>
          <w:lang w:eastAsia="zh-TW"/>
        </w:rPr>
        <w:t>应</w:t>
      </w:r>
      <w:r>
        <w:rPr>
          <w:rFonts w:hint="eastAsia" w:ascii="宋体" w:hAnsi="宋体" w:cs="宋体"/>
          <w:color w:val="auto"/>
          <w:sz w:val="24"/>
          <w:highlight w:val="none"/>
        </w:rPr>
        <w:t>在</w:t>
      </w:r>
      <w:r>
        <w:rPr>
          <w:rFonts w:hint="eastAsia" w:ascii="宋体" w:hAnsi="宋体"/>
          <w:color w:val="auto"/>
          <w:sz w:val="24"/>
          <w:highlight w:val="none"/>
        </w:rPr>
        <w:t>本项目投标截止时间前送达开标地点。</w:t>
      </w:r>
    </w:p>
    <w:p>
      <w:pPr>
        <w:numPr>
          <w:ilvl w:val="1"/>
          <w:numId w:val="61"/>
        </w:numPr>
        <w:autoSpaceDE w:val="0"/>
        <w:autoSpaceDN w:val="0"/>
        <w:snapToGrid w:val="0"/>
        <w:spacing w:line="360" w:lineRule="auto"/>
        <w:rPr>
          <w:rFonts w:ascii="宋体" w:hAnsi="宋体" w:cs="黑体"/>
          <w:b/>
          <w:bCs/>
          <w:strike/>
          <w:color w:val="auto"/>
          <w:sz w:val="24"/>
          <w:highlight w:val="none"/>
        </w:rPr>
      </w:pPr>
      <w:r>
        <w:rPr>
          <w:rFonts w:hint="eastAsia" w:ascii="宋体" w:hAnsi="宋体" w:cs="宋体"/>
          <w:color w:val="auto"/>
          <w:sz w:val="24"/>
          <w:highlight w:val="none"/>
          <w:lang w:eastAsia="zh-TW"/>
        </w:rPr>
        <w:t>逾期送达或者未按照招标文件要求密封的投标文件，采购人、采购代理机构应当拒收。</w:t>
      </w:r>
    </w:p>
    <w:p>
      <w:pPr>
        <w:numPr>
          <w:ilvl w:val="0"/>
          <w:numId w:val="61"/>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投标文件的修改和撤回、撤销</w:t>
      </w:r>
    </w:p>
    <w:p>
      <w:pPr>
        <w:numPr>
          <w:ilvl w:val="1"/>
          <w:numId w:val="61"/>
        </w:numPr>
        <w:autoSpaceDE w:val="0"/>
        <w:autoSpaceDN w:val="0"/>
        <w:snapToGrid w:val="0"/>
        <w:spacing w:line="360" w:lineRule="auto"/>
        <w:rPr>
          <w:rFonts w:ascii="宋体" w:hAnsi="宋体" w:cs="黑体"/>
          <w:b/>
          <w:bCs/>
          <w:color w:val="auto"/>
          <w:sz w:val="24"/>
          <w:highlight w:val="none"/>
        </w:rPr>
      </w:pPr>
      <w:r>
        <w:rPr>
          <w:rFonts w:hint="eastAsia" w:ascii="宋体" w:hAnsi="宋体" w:cs="宋体"/>
          <w:color w:val="auto"/>
          <w:sz w:val="24"/>
          <w:highlight w:val="none"/>
          <w:lang w:eastAsia="zh-TW"/>
        </w:rPr>
        <w:t>投标人在投标截止时间前，可以对所递交的投标文件进行补充、修改或者撤回，并书面通知采购代理机构。补充、修改的内容应当按招标文件要求签署、盖章</w:t>
      </w:r>
      <w:r>
        <w:rPr>
          <w:rFonts w:hint="eastAsia" w:ascii="宋体" w:hAnsi="宋体" w:cs="宋体"/>
          <w:color w:val="auto"/>
          <w:sz w:val="24"/>
          <w:highlight w:val="none"/>
        </w:rPr>
        <w:t>和</w:t>
      </w:r>
      <w:r>
        <w:rPr>
          <w:rFonts w:hint="eastAsia" w:ascii="宋体" w:hAnsi="宋体" w:cs="宋体"/>
          <w:color w:val="auto"/>
          <w:sz w:val="24"/>
          <w:highlight w:val="none"/>
          <w:lang w:eastAsia="zh-TW"/>
        </w:rPr>
        <w:t>密封后，并作为投标文件的组成部分。在投标截止时间之后，投标人不得对其投标文件做任何修改和补充。</w:t>
      </w:r>
    </w:p>
    <w:p>
      <w:pPr>
        <w:numPr>
          <w:ilvl w:val="1"/>
          <w:numId w:val="61"/>
        </w:numPr>
        <w:autoSpaceDE w:val="0"/>
        <w:autoSpaceDN w:val="0"/>
        <w:snapToGrid w:val="0"/>
        <w:spacing w:line="360" w:lineRule="auto"/>
        <w:rPr>
          <w:rFonts w:ascii="宋体" w:hAnsi="宋体" w:cs="黑体"/>
          <w:b/>
          <w:bCs/>
          <w:color w:val="auto"/>
          <w:sz w:val="24"/>
          <w:highlight w:val="none"/>
        </w:rPr>
      </w:pPr>
      <w:r>
        <w:rPr>
          <w:rFonts w:hint="eastAsia" w:ascii="宋体" w:hAnsi="宋体"/>
          <w:bCs/>
          <w:color w:val="auto"/>
          <w:sz w:val="24"/>
          <w:highlight w:val="none"/>
        </w:rPr>
        <w:t>投标人在投标截止后或在招标文件中规定的投标有效期内不可撤销其投标。</w:t>
      </w:r>
    </w:p>
    <w:p>
      <w:pPr>
        <w:numPr>
          <w:ilvl w:val="1"/>
          <w:numId w:val="61"/>
        </w:numPr>
        <w:autoSpaceDE w:val="0"/>
        <w:autoSpaceDN w:val="0"/>
        <w:snapToGrid w:val="0"/>
        <w:spacing w:line="360" w:lineRule="auto"/>
        <w:rPr>
          <w:rFonts w:ascii="宋体" w:hAnsi="宋体" w:cs="黑体"/>
          <w:b/>
          <w:bCs/>
          <w:strike/>
          <w:color w:val="auto"/>
          <w:sz w:val="24"/>
          <w:highlight w:val="none"/>
        </w:rPr>
      </w:pPr>
      <w:r>
        <w:rPr>
          <w:rFonts w:hint="eastAsia" w:ascii="宋体" w:hAnsi="宋体"/>
          <w:color w:val="auto"/>
          <w:sz w:val="24"/>
          <w:highlight w:val="none"/>
        </w:rPr>
        <w:t>除投标人不足3家不得开标的情形外，投标人所提交的投标文件在本项目投标截止时间后均不予退还。</w:t>
      </w:r>
    </w:p>
    <w:p>
      <w:pPr>
        <w:numPr>
          <w:ilvl w:val="0"/>
          <w:numId w:val="55"/>
        </w:numPr>
        <w:tabs>
          <w:tab w:val="left" w:pos="4395"/>
        </w:tabs>
        <w:autoSpaceDE w:val="0"/>
        <w:autoSpaceDN w:val="0"/>
        <w:snapToGrid w:val="0"/>
        <w:spacing w:line="360" w:lineRule="auto"/>
        <w:ind w:hanging="5399"/>
        <w:jc w:val="center"/>
        <w:outlineLvl w:val="2"/>
        <w:rPr>
          <w:rFonts w:ascii="宋体" w:hAnsi="宋体"/>
          <w:b/>
          <w:color w:val="auto"/>
          <w:sz w:val="28"/>
          <w:szCs w:val="28"/>
          <w:highlight w:val="none"/>
          <w:lang w:eastAsia="zh-TW"/>
        </w:rPr>
      </w:pPr>
      <w:bookmarkStart w:id="41" w:name="_Toc12364"/>
      <w:r>
        <w:rPr>
          <w:rFonts w:hint="eastAsia" w:ascii="宋体" w:hAnsi="宋体"/>
          <w:b/>
          <w:color w:val="auto"/>
          <w:sz w:val="28"/>
          <w:szCs w:val="28"/>
          <w:highlight w:val="none"/>
          <w:lang w:eastAsia="zh-TW"/>
        </w:rPr>
        <w:t>开标、评标、定标与合同签订</w:t>
      </w:r>
      <w:bookmarkEnd w:id="41"/>
    </w:p>
    <w:p>
      <w:pPr>
        <w:numPr>
          <w:ilvl w:val="0"/>
          <w:numId w:val="62"/>
        </w:numPr>
        <w:autoSpaceDE w:val="0"/>
        <w:autoSpaceDN w:val="0"/>
        <w:snapToGrid w:val="0"/>
        <w:spacing w:line="360" w:lineRule="auto"/>
        <w:outlineLvl w:val="3"/>
        <w:rPr>
          <w:rFonts w:ascii="宋体" w:hAnsi="宋体"/>
          <w:b/>
          <w:bCs/>
          <w:color w:val="auto"/>
          <w:sz w:val="24"/>
          <w:highlight w:val="none"/>
        </w:rPr>
      </w:pPr>
      <w:r>
        <w:rPr>
          <w:rFonts w:hint="eastAsia" w:ascii="宋体" w:hAnsi="宋体"/>
          <w:b/>
          <w:bCs/>
          <w:color w:val="auto"/>
          <w:sz w:val="24"/>
          <w:highlight w:val="none"/>
        </w:rPr>
        <w:t>开标</w:t>
      </w:r>
    </w:p>
    <w:p>
      <w:pPr>
        <w:pStyle w:val="24"/>
        <w:widowControl/>
        <w:numPr>
          <w:ilvl w:val="1"/>
          <w:numId w:val="55"/>
        </w:numPr>
        <w:snapToGrid w:val="0"/>
        <w:spacing w:line="360" w:lineRule="auto"/>
        <w:ind w:left="414" w:hanging="414" w:firstLineChars="0"/>
        <w:jc w:val="left"/>
        <w:rPr>
          <w:rFonts w:hAnsi="宋体"/>
          <w:color w:val="auto"/>
          <w:sz w:val="24"/>
          <w:highlight w:val="none"/>
        </w:rPr>
      </w:pPr>
      <w:r>
        <w:rPr>
          <w:rFonts w:hint="eastAsia" w:ascii="宋体" w:hAnsi="宋体" w:cs="宋体"/>
          <w:color w:val="auto"/>
          <w:sz w:val="24"/>
          <w:highlight w:val="none"/>
          <w:lang w:eastAsia="zh-TW"/>
        </w:rPr>
        <w:t>采购代理机构在投标邀请中规定的日期、时</w:t>
      </w:r>
      <w:r>
        <w:rPr>
          <w:rFonts w:hint="eastAsia" w:ascii="宋体" w:hAnsi="宋体" w:cs="宋体"/>
          <w:color w:val="auto"/>
          <w:sz w:val="24"/>
          <w:highlight w:val="none"/>
        </w:rPr>
        <w:t>间</w:t>
      </w:r>
      <w:r>
        <w:rPr>
          <w:rFonts w:hint="eastAsia" w:ascii="宋体" w:hAnsi="宋体" w:cs="宋体"/>
          <w:color w:val="auto"/>
          <w:sz w:val="24"/>
          <w:highlight w:val="none"/>
          <w:lang w:eastAsia="zh-TW"/>
        </w:rPr>
        <w:t>和地点组织</w:t>
      </w:r>
      <w:r>
        <w:rPr>
          <w:rFonts w:hint="eastAsia" w:ascii="宋体" w:hAnsi="宋体" w:cs="宋体"/>
          <w:color w:val="auto"/>
          <w:sz w:val="24"/>
          <w:highlight w:val="none"/>
        </w:rPr>
        <w:t>开标会议</w:t>
      </w:r>
      <w:r>
        <w:rPr>
          <w:rFonts w:hint="eastAsia" w:ascii="宋体" w:hAnsi="宋体" w:cs="宋体"/>
          <w:color w:val="auto"/>
          <w:sz w:val="24"/>
          <w:highlight w:val="none"/>
          <w:lang w:eastAsia="zh-TW"/>
        </w:rPr>
        <w:t>。</w:t>
      </w:r>
      <w:r>
        <w:rPr>
          <w:rFonts w:hint="eastAsia" w:ascii="宋体" w:hAnsi="宋体" w:cs="宋体"/>
          <w:color w:val="auto"/>
          <w:sz w:val="24"/>
          <w:highlight w:val="none"/>
        </w:rPr>
        <w:t>开标时邀请所有投标人代表参加。</w:t>
      </w:r>
    </w:p>
    <w:p>
      <w:pPr>
        <w:pStyle w:val="24"/>
        <w:widowControl/>
        <w:numPr>
          <w:ilvl w:val="1"/>
          <w:numId w:val="55"/>
        </w:numPr>
        <w:snapToGrid w:val="0"/>
        <w:spacing w:line="360" w:lineRule="auto"/>
        <w:ind w:left="414" w:hanging="414" w:firstLineChars="0"/>
        <w:jc w:val="left"/>
        <w:rPr>
          <w:rFonts w:ascii="宋体" w:hAnsi="宋体" w:cs="宋体"/>
          <w:color w:val="auto"/>
          <w:sz w:val="24"/>
          <w:highlight w:val="none"/>
          <w:lang w:eastAsia="zh-TW"/>
        </w:rPr>
      </w:pPr>
      <w:r>
        <w:rPr>
          <w:rFonts w:hint="eastAsia" w:ascii="宋体" w:hAnsi="宋体" w:cs="宋体"/>
          <w:color w:val="auto"/>
          <w:sz w:val="24"/>
          <w:highlight w:val="none"/>
          <w:lang w:eastAsia="zh-TW"/>
        </w:rPr>
        <w:t>开标时，由投标人或者其推选的代表检查投标文件的密封情况；经确认无误后，由采购人或者采购代理机构工作人员当众拆封，宣布投标人名称、投标价格和招标文件规定的需要宣布的其他内容。</w:t>
      </w:r>
    </w:p>
    <w:p>
      <w:pPr>
        <w:pStyle w:val="24"/>
        <w:widowControl/>
        <w:numPr>
          <w:ilvl w:val="1"/>
          <w:numId w:val="55"/>
        </w:numPr>
        <w:snapToGrid w:val="0"/>
        <w:spacing w:line="360" w:lineRule="auto"/>
        <w:ind w:left="414" w:hanging="414" w:firstLineChars="0"/>
        <w:jc w:val="left"/>
        <w:rPr>
          <w:rFonts w:ascii="宋体" w:hAnsi="宋体" w:cs="宋体"/>
          <w:color w:val="auto"/>
          <w:sz w:val="24"/>
          <w:highlight w:val="none"/>
          <w:lang w:eastAsia="zh-TW"/>
        </w:rPr>
      </w:pPr>
      <w:r>
        <w:rPr>
          <w:rFonts w:hint="eastAsia" w:ascii="宋体" w:hAnsi="宋体" w:cs="宋体"/>
          <w:color w:val="auto"/>
          <w:sz w:val="24"/>
          <w:highlight w:val="none"/>
          <w:lang w:eastAsia="zh-TW"/>
        </w:rPr>
        <w:t>开标过程应当由采购人或者采购代理机构负责记录，由参加开标的各投标人代表和相关工作人员签字确认。</w:t>
      </w:r>
    </w:p>
    <w:p>
      <w:pPr>
        <w:pStyle w:val="24"/>
        <w:widowControl/>
        <w:numPr>
          <w:ilvl w:val="1"/>
          <w:numId w:val="55"/>
        </w:numPr>
        <w:snapToGrid w:val="0"/>
        <w:spacing w:line="360" w:lineRule="auto"/>
        <w:ind w:left="414" w:hanging="414" w:firstLineChars="0"/>
        <w:jc w:val="left"/>
        <w:rPr>
          <w:rFonts w:ascii="宋体" w:hAnsi="宋体" w:cs="宋体"/>
          <w:color w:val="auto"/>
          <w:sz w:val="24"/>
          <w:highlight w:val="none"/>
          <w:lang w:eastAsia="zh-TW"/>
        </w:rPr>
      </w:pPr>
      <w:r>
        <w:rPr>
          <w:rFonts w:hint="eastAsia" w:ascii="宋体" w:hAnsi="宋体" w:cs="宋体"/>
          <w:color w:val="auto"/>
          <w:sz w:val="24"/>
          <w:highlight w:val="none"/>
          <w:lang w:eastAsia="zh-TW"/>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pPr>
        <w:pStyle w:val="24"/>
        <w:widowControl/>
        <w:numPr>
          <w:ilvl w:val="1"/>
          <w:numId w:val="55"/>
        </w:numPr>
        <w:snapToGrid w:val="0"/>
        <w:spacing w:line="360" w:lineRule="auto"/>
        <w:ind w:left="414" w:hanging="414" w:firstLineChars="0"/>
        <w:jc w:val="left"/>
        <w:rPr>
          <w:rFonts w:ascii="宋体" w:hAnsi="宋体" w:cs="宋体"/>
          <w:color w:val="auto"/>
          <w:sz w:val="24"/>
          <w:highlight w:val="none"/>
          <w:lang w:eastAsia="zh-TW"/>
        </w:rPr>
      </w:pPr>
      <w:r>
        <w:rPr>
          <w:rFonts w:hint="eastAsia" w:ascii="宋体" w:hAnsi="宋体" w:cs="宋体"/>
          <w:color w:val="auto"/>
          <w:sz w:val="24"/>
          <w:highlight w:val="none"/>
          <w:lang w:eastAsia="zh-TW"/>
        </w:rPr>
        <w:t>投标人未参加开标的，视同认可开标结果。</w:t>
      </w:r>
    </w:p>
    <w:p>
      <w:pPr>
        <w:numPr>
          <w:ilvl w:val="0"/>
          <w:numId w:val="62"/>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评标：</w:t>
      </w:r>
    </w:p>
    <w:p>
      <w:pPr>
        <w:pStyle w:val="24"/>
        <w:widowControl/>
        <w:numPr>
          <w:ilvl w:val="0"/>
          <w:numId w:val="63"/>
        </w:numPr>
        <w:snapToGrid w:val="0"/>
        <w:spacing w:line="360" w:lineRule="auto"/>
        <w:ind w:left="426" w:hanging="426" w:firstLineChars="0"/>
        <w:jc w:val="left"/>
        <w:rPr>
          <w:rFonts w:ascii="宋体" w:hAnsi="宋体"/>
          <w:b/>
          <w:bCs/>
          <w:color w:val="auto"/>
          <w:sz w:val="24"/>
          <w:highlight w:val="none"/>
        </w:rPr>
      </w:pPr>
      <w:r>
        <w:rPr>
          <w:rFonts w:hint="eastAsia" w:ascii="宋体" w:hAnsi="宋体"/>
          <w:b/>
          <w:bCs/>
          <w:color w:val="auto"/>
          <w:sz w:val="24"/>
          <w:highlight w:val="none"/>
        </w:rPr>
        <w:t>评标委员会组成及职责</w:t>
      </w:r>
    </w:p>
    <w:p>
      <w:pPr>
        <w:pStyle w:val="24"/>
        <w:widowControl/>
        <w:numPr>
          <w:ilvl w:val="0"/>
          <w:numId w:val="64"/>
        </w:numPr>
        <w:snapToGrid w:val="0"/>
        <w:spacing w:line="360" w:lineRule="auto"/>
        <w:ind w:left="426" w:firstLineChars="0"/>
        <w:jc w:val="left"/>
        <w:rPr>
          <w:rFonts w:ascii="宋体" w:hAnsi="宋体" w:cs="宋体"/>
          <w:color w:val="auto"/>
          <w:sz w:val="24"/>
          <w:highlight w:val="none"/>
          <w:lang w:eastAsia="zh-TW"/>
        </w:rPr>
      </w:pPr>
      <w:r>
        <w:rPr>
          <w:rFonts w:hint="eastAsia" w:ascii="宋体" w:hAnsi="宋体" w:cs="宋体"/>
          <w:color w:val="auto"/>
          <w:sz w:val="24"/>
          <w:highlight w:val="none"/>
        </w:rPr>
        <w:t>本次招标</w:t>
      </w:r>
      <w:r>
        <w:rPr>
          <w:rFonts w:hint="eastAsia" w:ascii="宋体" w:hAnsi="宋体" w:cs="宋体"/>
          <w:color w:val="auto"/>
          <w:sz w:val="24"/>
          <w:highlight w:val="none"/>
          <w:lang w:eastAsia="zh-TW"/>
        </w:rPr>
        <w:t>依法组建评标委员会，评标委员会成员人数</w:t>
      </w:r>
      <w:r>
        <w:rPr>
          <w:rFonts w:hint="eastAsia" w:ascii="宋体" w:hAnsi="宋体" w:cs="宋体"/>
          <w:b/>
          <w:color w:val="auto"/>
          <w:sz w:val="24"/>
          <w:highlight w:val="none"/>
        </w:rPr>
        <w:t>详见投标人须知前附表</w:t>
      </w:r>
      <w:r>
        <w:rPr>
          <w:rFonts w:hint="eastAsia" w:ascii="宋体" w:hAnsi="宋体" w:cs="宋体"/>
          <w:color w:val="auto"/>
          <w:sz w:val="24"/>
          <w:highlight w:val="none"/>
          <w:lang w:eastAsia="zh-TW"/>
        </w:rPr>
        <w:t>。</w:t>
      </w:r>
    </w:p>
    <w:p>
      <w:pPr>
        <w:pStyle w:val="24"/>
        <w:widowControl/>
        <w:numPr>
          <w:ilvl w:val="0"/>
          <w:numId w:val="64"/>
        </w:numPr>
        <w:snapToGrid w:val="0"/>
        <w:spacing w:line="360" w:lineRule="auto"/>
        <w:ind w:left="709" w:hanging="703" w:firstLineChars="0"/>
        <w:jc w:val="left"/>
        <w:rPr>
          <w:rFonts w:ascii="宋体" w:hAnsi="宋体" w:cs="宋体"/>
          <w:color w:val="auto"/>
          <w:sz w:val="24"/>
          <w:highlight w:val="none"/>
          <w:lang w:eastAsia="zh-TW"/>
        </w:rPr>
      </w:pPr>
      <w:r>
        <w:rPr>
          <w:rFonts w:hint="eastAsia" w:ascii="宋体" w:hAnsi="宋体" w:cs="宋体"/>
          <w:color w:val="auto"/>
          <w:sz w:val="24"/>
          <w:highlight w:val="none"/>
          <w:lang w:eastAsia="zh-TW"/>
        </w:rPr>
        <w:t>评标委员会成员名单在评标结果公告前应当保密。评审专家有下列情形之一的，受到邀请应主动提出回避，采购当事人也可以要求该评审专家回避：</w:t>
      </w:r>
    </w:p>
    <w:p>
      <w:pPr>
        <w:pStyle w:val="24"/>
        <w:widowControl/>
        <w:numPr>
          <w:ilvl w:val="1"/>
          <w:numId w:val="65"/>
        </w:numPr>
        <w:tabs>
          <w:tab w:val="left" w:pos="567"/>
        </w:tabs>
        <w:snapToGrid w:val="0"/>
        <w:spacing w:line="360" w:lineRule="auto"/>
        <w:ind w:hanging="136" w:firstLineChars="0"/>
        <w:jc w:val="left"/>
        <w:rPr>
          <w:rFonts w:ascii="宋体" w:hAnsi="宋体"/>
          <w:bCs/>
          <w:color w:val="auto"/>
          <w:sz w:val="24"/>
          <w:highlight w:val="none"/>
        </w:rPr>
      </w:pPr>
      <w:r>
        <w:rPr>
          <w:rFonts w:hint="eastAsia" w:ascii="宋体" w:hAnsi="宋体"/>
          <w:bCs/>
          <w:color w:val="auto"/>
          <w:sz w:val="24"/>
          <w:highlight w:val="none"/>
        </w:rPr>
        <w:t>参加采购活动前3年内与供应商存在劳动关系；</w:t>
      </w:r>
    </w:p>
    <w:p>
      <w:pPr>
        <w:pStyle w:val="24"/>
        <w:widowControl/>
        <w:numPr>
          <w:ilvl w:val="1"/>
          <w:numId w:val="65"/>
        </w:numPr>
        <w:tabs>
          <w:tab w:val="left" w:pos="567"/>
        </w:tabs>
        <w:snapToGrid w:val="0"/>
        <w:spacing w:line="360" w:lineRule="auto"/>
        <w:ind w:hanging="136" w:firstLineChars="0"/>
        <w:jc w:val="left"/>
        <w:rPr>
          <w:rFonts w:ascii="宋体" w:hAnsi="宋体"/>
          <w:bCs/>
          <w:color w:val="auto"/>
          <w:sz w:val="24"/>
          <w:highlight w:val="none"/>
        </w:rPr>
      </w:pPr>
      <w:r>
        <w:rPr>
          <w:rFonts w:hint="eastAsia" w:ascii="宋体" w:hAnsi="宋体"/>
          <w:bCs/>
          <w:color w:val="auto"/>
          <w:sz w:val="24"/>
          <w:highlight w:val="none"/>
        </w:rPr>
        <w:t>参加采购活动前3年内担任供应商的董事、监事；</w:t>
      </w:r>
    </w:p>
    <w:p>
      <w:pPr>
        <w:pStyle w:val="24"/>
        <w:widowControl/>
        <w:numPr>
          <w:ilvl w:val="1"/>
          <w:numId w:val="65"/>
        </w:numPr>
        <w:tabs>
          <w:tab w:val="left" w:pos="567"/>
        </w:tabs>
        <w:snapToGrid w:val="0"/>
        <w:spacing w:line="360" w:lineRule="auto"/>
        <w:ind w:hanging="136" w:firstLineChars="0"/>
        <w:jc w:val="left"/>
        <w:rPr>
          <w:rFonts w:ascii="宋体" w:hAnsi="宋体"/>
          <w:bCs/>
          <w:color w:val="auto"/>
          <w:sz w:val="24"/>
          <w:highlight w:val="none"/>
        </w:rPr>
      </w:pPr>
      <w:r>
        <w:rPr>
          <w:rFonts w:hint="eastAsia" w:ascii="宋体" w:hAnsi="宋体"/>
          <w:bCs/>
          <w:color w:val="auto"/>
          <w:sz w:val="24"/>
          <w:highlight w:val="none"/>
        </w:rPr>
        <w:t>参加采购活动前3年内是供应商的控股股东或者实际控制人；</w:t>
      </w:r>
    </w:p>
    <w:p>
      <w:pPr>
        <w:pStyle w:val="24"/>
        <w:widowControl/>
        <w:numPr>
          <w:ilvl w:val="1"/>
          <w:numId w:val="65"/>
        </w:numPr>
        <w:tabs>
          <w:tab w:val="left" w:pos="567"/>
        </w:tabs>
        <w:snapToGrid w:val="0"/>
        <w:spacing w:line="360" w:lineRule="auto"/>
        <w:ind w:hanging="136" w:firstLineChars="0"/>
        <w:jc w:val="left"/>
        <w:rPr>
          <w:rFonts w:ascii="宋体" w:hAnsi="宋体"/>
          <w:bCs/>
          <w:color w:val="auto"/>
          <w:sz w:val="24"/>
          <w:highlight w:val="none"/>
        </w:rPr>
      </w:pPr>
      <w:r>
        <w:rPr>
          <w:rFonts w:hint="eastAsia" w:ascii="宋体" w:hAnsi="宋体"/>
          <w:bCs/>
          <w:color w:val="auto"/>
          <w:sz w:val="24"/>
          <w:highlight w:val="none"/>
        </w:rPr>
        <w:t>与供应商的法定代表人或者负责人有夫妻、直系血亲、三代以内旁系血亲或者近姻亲关系；</w:t>
      </w:r>
    </w:p>
    <w:p>
      <w:pPr>
        <w:pStyle w:val="24"/>
        <w:widowControl/>
        <w:numPr>
          <w:ilvl w:val="1"/>
          <w:numId w:val="65"/>
        </w:numPr>
        <w:tabs>
          <w:tab w:val="left" w:pos="567"/>
        </w:tabs>
        <w:snapToGrid w:val="0"/>
        <w:spacing w:line="360" w:lineRule="auto"/>
        <w:ind w:hanging="136" w:firstLineChars="0"/>
        <w:jc w:val="left"/>
        <w:rPr>
          <w:rFonts w:ascii="宋体" w:hAnsi="宋体"/>
          <w:bCs/>
          <w:color w:val="auto"/>
          <w:sz w:val="24"/>
          <w:highlight w:val="none"/>
        </w:rPr>
      </w:pPr>
      <w:r>
        <w:rPr>
          <w:rFonts w:hint="eastAsia" w:ascii="宋体" w:hAnsi="宋体"/>
          <w:bCs/>
          <w:color w:val="auto"/>
          <w:sz w:val="24"/>
          <w:highlight w:val="none"/>
        </w:rPr>
        <w:t>与供应商有其他可能影响政府采购活动公平、公正进行的关系。</w:t>
      </w:r>
    </w:p>
    <w:p>
      <w:pPr>
        <w:pStyle w:val="24"/>
        <w:widowControl/>
        <w:numPr>
          <w:ilvl w:val="0"/>
          <w:numId w:val="64"/>
        </w:numPr>
        <w:snapToGrid w:val="0"/>
        <w:spacing w:line="360" w:lineRule="auto"/>
        <w:ind w:left="709" w:hanging="703" w:firstLineChars="0"/>
        <w:jc w:val="left"/>
        <w:rPr>
          <w:rFonts w:ascii="宋体" w:hAnsi="宋体" w:cs="宋体"/>
          <w:color w:val="auto"/>
          <w:sz w:val="24"/>
          <w:highlight w:val="none"/>
          <w:lang w:eastAsia="zh-TW"/>
        </w:rPr>
      </w:pPr>
      <w:r>
        <w:rPr>
          <w:rFonts w:hint="eastAsia" w:ascii="宋体" w:hAnsi="宋体" w:cs="宋体"/>
          <w:color w:val="auto"/>
          <w:sz w:val="24"/>
          <w:highlight w:val="none"/>
          <w:lang w:eastAsia="zh-TW"/>
        </w:rPr>
        <w:t>评标委员会成员和参与评标的有关工作人员不得透露对投标文件的评审和比较、中标候选人的推荐情况以及与评标有关的其他情况。</w:t>
      </w:r>
    </w:p>
    <w:p>
      <w:pPr>
        <w:pStyle w:val="24"/>
        <w:widowControl/>
        <w:numPr>
          <w:ilvl w:val="0"/>
          <w:numId w:val="64"/>
        </w:numPr>
        <w:snapToGrid w:val="0"/>
        <w:spacing w:line="360" w:lineRule="auto"/>
        <w:ind w:left="709" w:hanging="703" w:firstLineChars="0"/>
        <w:jc w:val="left"/>
        <w:rPr>
          <w:rFonts w:ascii="宋体" w:hAnsi="宋体" w:cs="宋体"/>
          <w:color w:val="auto"/>
          <w:sz w:val="24"/>
          <w:highlight w:val="none"/>
          <w:lang w:eastAsia="zh-TW"/>
        </w:rPr>
      </w:pPr>
      <w:r>
        <w:rPr>
          <w:rFonts w:hint="eastAsia" w:ascii="宋体" w:hAnsi="宋体" w:cs="宋体"/>
          <w:color w:val="auto"/>
          <w:sz w:val="24"/>
          <w:highlight w:val="none"/>
          <w:lang w:eastAsia="zh-TW"/>
        </w:rPr>
        <w:t>评标委员会负责具体评标事务，并独立履行下列职责：</w:t>
      </w:r>
    </w:p>
    <w:p>
      <w:pPr>
        <w:pStyle w:val="24"/>
        <w:widowControl/>
        <w:numPr>
          <w:ilvl w:val="0"/>
          <w:numId w:val="66"/>
        </w:numPr>
        <w:tabs>
          <w:tab w:val="left" w:pos="567"/>
        </w:tabs>
        <w:snapToGrid w:val="0"/>
        <w:spacing w:line="360" w:lineRule="auto"/>
        <w:ind w:hanging="136" w:firstLineChars="0"/>
        <w:jc w:val="left"/>
        <w:rPr>
          <w:rFonts w:ascii="宋体" w:hAnsi="宋体"/>
          <w:bCs/>
          <w:color w:val="auto"/>
          <w:sz w:val="24"/>
          <w:highlight w:val="none"/>
        </w:rPr>
      </w:pPr>
      <w:r>
        <w:rPr>
          <w:rFonts w:hint="eastAsia" w:ascii="宋体" w:hAnsi="宋体"/>
          <w:bCs/>
          <w:color w:val="auto"/>
          <w:sz w:val="24"/>
          <w:highlight w:val="none"/>
        </w:rPr>
        <w:t>审查、评价投标文件是否符合招标文件的商务、技术等实质性要求；</w:t>
      </w:r>
    </w:p>
    <w:p>
      <w:pPr>
        <w:pStyle w:val="24"/>
        <w:widowControl/>
        <w:numPr>
          <w:ilvl w:val="0"/>
          <w:numId w:val="66"/>
        </w:numPr>
        <w:tabs>
          <w:tab w:val="left" w:pos="567"/>
        </w:tabs>
        <w:snapToGrid w:val="0"/>
        <w:spacing w:line="360" w:lineRule="auto"/>
        <w:ind w:hanging="136" w:firstLineChars="0"/>
        <w:jc w:val="left"/>
        <w:rPr>
          <w:rFonts w:ascii="宋体" w:hAnsi="宋体"/>
          <w:bCs/>
          <w:color w:val="auto"/>
          <w:sz w:val="24"/>
          <w:highlight w:val="none"/>
        </w:rPr>
      </w:pPr>
      <w:r>
        <w:rPr>
          <w:rFonts w:hint="eastAsia" w:ascii="宋体" w:hAnsi="宋体"/>
          <w:bCs/>
          <w:color w:val="auto"/>
          <w:sz w:val="24"/>
          <w:highlight w:val="none"/>
        </w:rPr>
        <w:t>要求投标人对投标文件有关事项作出澄清或者说明；</w:t>
      </w:r>
    </w:p>
    <w:p>
      <w:pPr>
        <w:pStyle w:val="24"/>
        <w:widowControl/>
        <w:numPr>
          <w:ilvl w:val="0"/>
          <w:numId w:val="66"/>
        </w:numPr>
        <w:tabs>
          <w:tab w:val="left" w:pos="567"/>
        </w:tabs>
        <w:snapToGrid w:val="0"/>
        <w:spacing w:line="360" w:lineRule="auto"/>
        <w:ind w:hanging="136" w:firstLineChars="0"/>
        <w:jc w:val="left"/>
        <w:rPr>
          <w:rFonts w:ascii="宋体" w:hAnsi="宋体"/>
          <w:bCs/>
          <w:color w:val="auto"/>
          <w:sz w:val="24"/>
          <w:highlight w:val="none"/>
        </w:rPr>
      </w:pPr>
      <w:r>
        <w:rPr>
          <w:rFonts w:hint="eastAsia" w:ascii="宋体" w:hAnsi="宋体"/>
          <w:bCs/>
          <w:color w:val="auto"/>
          <w:sz w:val="24"/>
          <w:highlight w:val="none"/>
        </w:rPr>
        <w:t>对投标文件进行比较和评价；</w:t>
      </w:r>
    </w:p>
    <w:p>
      <w:pPr>
        <w:pStyle w:val="24"/>
        <w:widowControl/>
        <w:numPr>
          <w:ilvl w:val="0"/>
          <w:numId w:val="66"/>
        </w:numPr>
        <w:tabs>
          <w:tab w:val="left" w:pos="567"/>
        </w:tabs>
        <w:snapToGrid w:val="0"/>
        <w:spacing w:line="360" w:lineRule="auto"/>
        <w:ind w:hanging="136" w:firstLineChars="0"/>
        <w:jc w:val="left"/>
        <w:rPr>
          <w:rFonts w:ascii="宋体" w:hAnsi="宋体"/>
          <w:bCs/>
          <w:color w:val="auto"/>
          <w:sz w:val="24"/>
          <w:highlight w:val="none"/>
        </w:rPr>
      </w:pPr>
      <w:r>
        <w:rPr>
          <w:rFonts w:hint="eastAsia" w:ascii="宋体" w:hAnsi="宋体"/>
          <w:bCs/>
          <w:color w:val="auto"/>
          <w:sz w:val="24"/>
          <w:highlight w:val="none"/>
        </w:rPr>
        <w:t>确定中标候选人名单，以及根据采购人委托直接确定中标人；</w:t>
      </w:r>
    </w:p>
    <w:p>
      <w:pPr>
        <w:pStyle w:val="24"/>
        <w:widowControl/>
        <w:numPr>
          <w:ilvl w:val="0"/>
          <w:numId w:val="66"/>
        </w:numPr>
        <w:tabs>
          <w:tab w:val="left" w:pos="567"/>
        </w:tabs>
        <w:snapToGrid w:val="0"/>
        <w:spacing w:line="360" w:lineRule="auto"/>
        <w:ind w:hanging="136" w:firstLineChars="0"/>
        <w:jc w:val="left"/>
        <w:rPr>
          <w:rFonts w:ascii="宋体" w:hAnsi="宋体"/>
          <w:bCs/>
          <w:color w:val="auto"/>
          <w:sz w:val="24"/>
          <w:highlight w:val="none"/>
        </w:rPr>
      </w:pPr>
      <w:r>
        <w:rPr>
          <w:rFonts w:hint="eastAsia" w:ascii="宋体" w:hAnsi="宋体"/>
          <w:bCs/>
          <w:color w:val="auto"/>
          <w:sz w:val="24"/>
          <w:highlight w:val="none"/>
        </w:rPr>
        <w:t>向采购人、采购代理机构或者有关部门报告评标中发现的违法行为。</w:t>
      </w:r>
    </w:p>
    <w:p>
      <w:pPr>
        <w:pStyle w:val="24"/>
        <w:widowControl/>
        <w:numPr>
          <w:ilvl w:val="0"/>
          <w:numId w:val="64"/>
        </w:numPr>
        <w:snapToGrid w:val="0"/>
        <w:spacing w:line="360" w:lineRule="auto"/>
        <w:ind w:left="709" w:hanging="703" w:firstLineChars="0"/>
        <w:jc w:val="left"/>
        <w:rPr>
          <w:rFonts w:ascii="宋体" w:hAnsi="宋体" w:cs="宋体"/>
          <w:color w:val="auto"/>
          <w:sz w:val="24"/>
          <w:highlight w:val="none"/>
          <w:lang w:eastAsia="zh-TW"/>
        </w:rPr>
      </w:pPr>
      <w:r>
        <w:rPr>
          <w:rFonts w:hint="eastAsia" w:ascii="宋体" w:hAnsi="宋体" w:cs="宋体"/>
          <w:color w:val="auto"/>
          <w:sz w:val="24"/>
          <w:highlight w:val="none"/>
          <w:lang w:eastAsia="zh-TW"/>
        </w:rPr>
        <w:t>对于投标文件中含义不明确、同类问题表述不一致或者有明显文字和计算错误的内容，评标委员会应当以书面形式要求投标人作出必要的澄清、说明或者补正。</w:t>
      </w:r>
    </w:p>
    <w:p>
      <w:pPr>
        <w:pStyle w:val="24"/>
        <w:widowControl/>
        <w:numPr>
          <w:ilvl w:val="0"/>
          <w:numId w:val="64"/>
        </w:numPr>
        <w:snapToGrid w:val="0"/>
        <w:spacing w:line="360" w:lineRule="auto"/>
        <w:ind w:left="709" w:hanging="703" w:firstLineChars="0"/>
        <w:jc w:val="left"/>
        <w:rPr>
          <w:rFonts w:ascii="宋体" w:hAnsi="宋体" w:cs="宋体"/>
          <w:color w:val="auto"/>
          <w:sz w:val="24"/>
          <w:highlight w:val="none"/>
          <w:lang w:eastAsia="zh-TW"/>
        </w:rPr>
      </w:pPr>
      <w:r>
        <w:rPr>
          <w:rFonts w:hint="eastAsia" w:ascii="宋体" w:hAnsi="宋体" w:cs="宋体"/>
          <w:color w:val="auto"/>
          <w:sz w:val="24"/>
          <w:highlight w:val="none"/>
          <w:lang w:eastAsia="zh-TW"/>
        </w:rPr>
        <w:t>投标人的澄清、说明或者补正应当采用书面形式，并加盖公章，或者由法定代表人或其授权的代表签字。投标人的澄清、说明或者补正不得超出投标文件的范围或者改变投标文件的实质性内容。投标人的澄清文件是其投标文件的组成部分。</w:t>
      </w:r>
    </w:p>
    <w:p>
      <w:pPr>
        <w:pStyle w:val="24"/>
        <w:widowControl/>
        <w:numPr>
          <w:ilvl w:val="0"/>
          <w:numId w:val="64"/>
        </w:numPr>
        <w:snapToGrid w:val="0"/>
        <w:spacing w:line="360" w:lineRule="auto"/>
        <w:ind w:left="709" w:hanging="703" w:firstLineChars="0"/>
        <w:jc w:val="left"/>
        <w:rPr>
          <w:rFonts w:ascii="宋体" w:hAnsi="宋体" w:cs="宋体"/>
          <w:color w:val="auto"/>
          <w:sz w:val="24"/>
          <w:highlight w:val="none"/>
          <w:lang w:eastAsia="zh-TW"/>
        </w:rPr>
      </w:pPr>
      <w:r>
        <w:rPr>
          <w:rFonts w:hint="eastAsia" w:ascii="宋体" w:hAnsi="宋体" w:cs="宋体"/>
          <w:color w:val="auto"/>
          <w:sz w:val="24"/>
          <w:highlight w:val="none"/>
          <w:lang w:eastAsia="zh-TW"/>
        </w:rPr>
        <w:t>评标委员会决定投标的响应性只根据投标文件中提供的材料内容，而不依据外部的材料证据。</w:t>
      </w:r>
    </w:p>
    <w:p>
      <w:pPr>
        <w:pStyle w:val="24"/>
        <w:widowControl/>
        <w:numPr>
          <w:ilvl w:val="0"/>
          <w:numId w:val="63"/>
        </w:numPr>
        <w:snapToGrid w:val="0"/>
        <w:spacing w:line="360" w:lineRule="auto"/>
        <w:ind w:left="426" w:hanging="426" w:firstLineChars="0"/>
        <w:jc w:val="left"/>
        <w:rPr>
          <w:rFonts w:ascii="宋体" w:hAnsi="宋体"/>
          <w:b/>
          <w:bCs/>
          <w:color w:val="auto"/>
          <w:sz w:val="24"/>
          <w:highlight w:val="none"/>
        </w:rPr>
      </w:pPr>
      <w:r>
        <w:rPr>
          <w:rFonts w:hint="eastAsia" w:ascii="宋体" w:hAnsi="宋体"/>
          <w:b/>
          <w:bCs/>
          <w:color w:val="auto"/>
          <w:sz w:val="24"/>
          <w:highlight w:val="none"/>
        </w:rPr>
        <w:t>评标方法</w:t>
      </w:r>
    </w:p>
    <w:p>
      <w:pPr>
        <w:pStyle w:val="24"/>
        <w:widowControl/>
        <w:numPr>
          <w:ilvl w:val="0"/>
          <w:numId w:val="67"/>
        </w:numPr>
        <w:snapToGrid w:val="0"/>
        <w:spacing w:line="360" w:lineRule="auto"/>
        <w:ind w:left="426" w:hanging="426" w:firstLineChars="0"/>
        <w:jc w:val="left"/>
        <w:rPr>
          <w:rFonts w:ascii="宋体" w:hAnsi="宋体"/>
          <w:color w:val="auto"/>
          <w:sz w:val="24"/>
          <w:highlight w:val="none"/>
        </w:rPr>
      </w:pPr>
      <w:r>
        <w:rPr>
          <w:rFonts w:hint="eastAsia" w:ascii="宋体" w:hAnsi="宋体"/>
          <w:color w:val="auto"/>
          <w:sz w:val="24"/>
          <w:highlight w:val="none"/>
        </w:rPr>
        <w:t>本项目按照</w:t>
      </w:r>
      <w:r>
        <w:rPr>
          <w:rFonts w:hint="eastAsia" w:ascii="宋体" w:hAnsi="宋体"/>
          <w:b/>
          <w:color w:val="auto"/>
          <w:sz w:val="24"/>
          <w:highlight w:val="none"/>
        </w:rPr>
        <w:t>投标人须知前附表</w:t>
      </w:r>
      <w:r>
        <w:rPr>
          <w:rFonts w:hint="eastAsia" w:ascii="宋体" w:hAnsi="宋体"/>
          <w:color w:val="auto"/>
          <w:sz w:val="24"/>
          <w:highlight w:val="none"/>
        </w:rPr>
        <w:t>规定的评标方法进行评审。</w:t>
      </w:r>
    </w:p>
    <w:p>
      <w:pPr>
        <w:pStyle w:val="24"/>
        <w:widowControl/>
        <w:numPr>
          <w:ilvl w:val="0"/>
          <w:numId w:val="67"/>
        </w:numPr>
        <w:snapToGrid w:val="0"/>
        <w:spacing w:line="360" w:lineRule="auto"/>
        <w:ind w:left="426" w:hanging="426" w:firstLineChars="0"/>
        <w:jc w:val="left"/>
        <w:rPr>
          <w:rFonts w:ascii="宋体" w:hAnsi="宋体"/>
          <w:color w:val="auto"/>
          <w:sz w:val="24"/>
          <w:highlight w:val="none"/>
        </w:rPr>
      </w:pPr>
      <w:r>
        <w:rPr>
          <w:rFonts w:hint="eastAsia" w:hAnsi="宋体"/>
          <w:color w:val="auto"/>
          <w:sz w:val="24"/>
          <w:highlight w:val="none"/>
        </w:rPr>
        <w:t>综合评分法：</w:t>
      </w:r>
    </w:p>
    <w:p>
      <w:pPr>
        <w:pStyle w:val="24"/>
        <w:widowControl/>
        <w:numPr>
          <w:ilvl w:val="0"/>
          <w:numId w:val="68"/>
        </w:numPr>
        <w:tabs>
          <w:tab w:val="left" w:pos="567"/>
        </w:tabs>
        <w:snapToGrid w:val="0"/>
        <w:spacing w:line="360" w:lineRule="auto"/>
        <w:ind w:left="567" w:hanging="283" w:firstLineChars="0"/>
        <w:jc w:val="left"/>
        <w:rPr>
          <w:rFonts w:ascii="宋体" w:hAnsi="宋体"/>
          <w:bCs/>
          <w:color w:val="auto"/>
          <w:sz w:val="24"/>
          <w:highlight w:val="none"/>
        </w:rPr>
      </w:pPr>
      <w:r>
        <w:rPr>
          <w:rFonts w:hint="eastAsia" w:ascii="宋体" w:hAnsi="宋体"/>
          <w:bCs/>
          <w:color w:val="auto"/>
          <w:sz w:val="24"/>
          <w:highlight w:val="none"/>
        </w:rPr>
        <w:t>综合评分法，是指投标文件满足招标文件全部实质性要求，且按照评审因素的量化指标评审得分最高的投标人为中标候选人的评标方法。</w:t>
      </w:r>
    </w:p>
    <w:p>
      <w:pPr>
        <w:pStyle w:val="24"/>
        <w:widowControl/>
        <w:numPr>
          <w:ilvl w:val="0"/>
          <w:numId w:val="68"/>
        </w:numPr>
        <w:tabs>
          <w:tab w:val="left" w:pos="567"/>
        </w:tabs>
        <w:snapToGrid w:val="0"/>
        <w:spacing w:line="360" w:lineRule="auto"/>
        <w:ind w:hanging="136" w:firstLineChars="0"/>
        <w:jc w:val="left"/>
        <w:rPr>
          <w:rFonts w:ascii="宋体" w:hAnsi="宋体"/>
          <w:bCs/>
          <w:color w:val="auto"/>
          <w:sz w:val="24"/>
          <w:highlight w:val="none"/>
        </w:rPr>
      </w:pPr>
      <w:r>
        <w:rPr>
          <w:rFonts w:hint="eastAsia" w:ascii="宋体" w:hAnsi="宋体"/>
          <w:bCs/>
          <w:color w:val="auto"/>
          <w:sz w:val="24"/>
          <w:highlight w:val="none"/>
        </w:rPr>
        <w:t>评标步骤：</w:t>
      </w:r>
    </w:p>
    <w:p>
      <w:pPr>
        <w:pStyle w:val="24"/>
        <w:widowControl/>
        <w:numPr>
          <w:ilvl w:val="0"/>
          <w:numId w:val="69"/>
        </w:numPr>
        <w:tabs>
          <w:tab w:val="left" w:pos="567"/>
        </w:tabs>
        <w:snapToGrid w:val="0"/>
        <w:spacing w:line="360" w:lineRule="auto"/>
        <w:ind w:left="567" w:hanging="284" w:firstLineChars="0"/>
        <w:jc w:val="left"/>
        <w:rPr>
          <w:rFonts w:ascii="宋体" w:cs="宋体"/>
          <w:color w:val="auto"/>
          <w:sz w:val="24"/>
          <w:highlight w:val="none"/>
        </w:rPr>
      </w:pPr>
      <w:r>
        <w:rPr>
          <w:rFonts w:hint="eastAsia" w:ascii="宋体" w:hAnsi="宋体"/>
          <w:bCs/>
          <w:color w:val="auto"/>
          <w:sz w:val="24"/>
          <w:highlight w:val="none"/>
        </w:rPr>
        <w:t>资格性审查：</w:t>
      </w:r>
      <w:r>
        <w:rPr>
          <w:rFonts w:hint="eastAsia" w:ascii="宋体" w:cs="宋体"/>
          <w:color w:val="auto"/>
          <w:sz w:val="24"/>
          <w:highlight w:val="none"/>
        </w:rPr>
        <w:t>开标结束后，采购人或者采购代理机构依法对投标人的资格进行审查，详见《资格性审查表》。未通过资格性审查的投标人，不进入符合性审查。</w:t>
      </w:r>
    </w:p>
    <w:p>
      <w:pPr>
        <w:pStyle w:val="24"/>
        <w:widowControl/>
        <w:numPr>
          <w:ilvl w:val="0"/>
          <w:numId w:val="69"/>
        </w:numPr>
        <w:tabs>
          <w:tab w:val="left" w:pos="426"/>
          <w:tab w:val="left" w:pos="567"/>
        </w:tabs>
        <w:snapToGrid w:val="0"/>
        <w:spacing w:line="360" w:lineRule="auto"/>
        <w:ind w:left="567" w:hanging="284" w:firstLineChars="0"/>
        <w:jc w:val="left"/>
        <w:rPr>
          <w:rFonts w:ascii="宋体" w:cs="宋体"/>
          <w:color w:val="auto"/>
          <w:sz w:val="24"/>
          <w:highlight w:val="none"/>
        </w:rPr>
      </w:pPr>
      <w:r>
        <w:rPr>
          <w:rFonts w:hint="eastAsia" w:ascii="宋体" w:cs="宋体"/>
          <w:color w:val="auto"/>
          <w:sz w:val="24"/>
          <w:highlight w:val="none"/>
        </w:rPr>
        <w:t>符合性审查：评标委员会应当对通过资格性审查的投标人的投标文件进行符合性审查，详见《符合性审查表》，以确定其是否满足招标文件的实质性要求。未通过符合性审查的投标人，不进入技术、商务和价格评审。</w:t>
      </w:r>
    </w:p>
    <w:p>
      <w:pPr>
        <w:pStyle w:val="24"/>
        <w:widowControl/>
        <w:numPr>
          <w:ilvl w:val="0"/>
          <w:numId w:val="69"/>
        </w:numPr>
        <w:tabs>
          <w:tab w:val="left" w:pos="567"/>
        </w:tabs>
        <w:snapToGrid w:val="0"/>
        <w:spacing w:line="360" w:lineRule="auto"/>
        <w:ind w:left="567" w:hanging="283" w:firstLineChars="0"/>
        <w:jc w:val="left"/>
        <w:rPr>
          <w:rFonts w:ascii="宋体" w:cs="宋体"/>
          <w:color w:val="auto"/>
          <w:sz w:val="24"/>
          <w:highlight w:val="none"/>
        </w:rPr>
      </w:pPr>
      <w:r>
        <w:rPr>
          <w:rFonts w:hint="eastAsia" w:ascii="宋体" w:cs="宋体"/>
          <w:color w:val="auto"/>
          <w:sz w:val="24"/>
          <w:highlight w:val="none"/>
        </w:rPr>
        <w:t>详细评审：评标委员会对符合性审查合格的投标文件进行技术、商务评估，综合比较与评价。具体技术、商务、价格部分的评审因素详见《综合评分表》。</w:t>
      </w:r>
    </w:p>
    <w:p>
      <w:pPr>
        <w:pStyle w:val="24"/>
        <w:widowControl/>
        <w:numPr>
          <w:ilvl w:val="0"/>
          <w:numId w:val="69"/>
        </w:numPr>
        <w:snapToGrid w:val="0"/>
        <w:spacing w:line="360" w:lineRule="auto"/>
        <w:ind w:left="567" w:hanging="283" w:firstLineChars="0"/>
        <w:jc w:val="left"/>
        <w:rPr>
          <w:rFonts w:ascii="宋体" w:hAnsi="宋体"/>
          <w:color w:val="auto"/>
          <w:sz w:val="24"/>
          <w:highlight w:val="none"/>
        </w:rPr>
      </w:pPr>
      <w:r>
        <w:rPr>
          <w:rFonts w:hint="eastAsia" w:ascii="宋体" w:hAnsi="宋体"/>
          <w:color w:val="auto"/>
          <w:sz w:val="24"/>
          <w:highlight w:val="none"/>
        </w:rPr>
        <w:t>评标过程中，不得去掉报价中的最高报价和最低报价。</w:t>
      </w:r>
    </w:p>
    <w:p>
      <w:pPr>
        <w:pStyle w:val="24"/>
        <w:widowControl/>
        <w:numPr>
          <w:ilvl w:val="0"/>
          <w:numId w:val="69"/>
        </w:numPr>
        <w:snapToGrid w:val="0"/>
        <w:spacing w:line="360" w:lineRule="auto"/>
        <w:ind w:left="567" w:hanging="283" w:firstLineChars="0"/>
        <w:jc w:val="left"/>
        <w:rPr>
          <w:rFonts w:ascii="宋体" w:hAnsi="宋体"/>
          <w:color w:val="auto"/>
          <w:sz w:val="24"/>
          <w:highlight w:val="none"/>
        </w:rPr>
      </w:pPr>
      <w:r>
        <w:rPr>
          <w:rFonts w:hint="eastAsia" w:ascii="宋体" w:hAnsi="宋体"/>
          <w:color w:val="auto"/>
          <w:sz w:val="24"/>
          <w:highlight w:val="none"/>
        </w:rPr>
        <w:t>评标时，评标委员会各成员应当独立对每个投标人的投标文件进行评价，并汇总每个投标人的得分。</w:t>
      </w:r>
    </w:p>
    <w:p>
      <w:pPr>
        <w:pStyle w:val="24"/>
        <w:widowControl/>
        <w:numPr>
          <w:ilvl w:val="0"/>
          <w:numId w:val="69"/>
        </w:numPr>
        <w:snapToGrid w:val="0"/>
        <w:spacing w:line="360" w:lineRule="auto"/>
        <w:ind w:left="567" w:hanging="283" w:firstLineChars="0"/>
        <w:jc w:val="left"/>
        <w:rPr>
          <w:rFonts w:ascii="宋体" w:hAnsi="宋体"/>
          <w:color w:val="auto"/>
          <w:sz w:val="24"/>
          <w:highlight w:val="none"/>
        </w:rPr>
      </w:pPr>
      <w:r>
        <w:rPr>
          <w:rFonts w:hint="eastAsia" w:ascii="宋体" w:hAnsi="宋体"/>
          <w:color w:val="auto"/>
          <w:sz w:val="24"/>
          <w:highlight w:val="none"/>
        </w:rPr>
        <w:t>综合得分=技术得分+商务得分+价格得分。</w:t>
      </w:r>
    </w:p>
    <w:p>
      <w:pPr>
        <w:pStyle w:val="24"/>
        <w:widowControl/>
        <w:numPr>
          <w:ilvl w:val="0"/>
          <w:numId w:val="67"/>
        </w:numPr>
        <w:snapToGrid w:val="0"/>
        <w:spacing w:line="360" w:lineRule="auto"/>
        <w:ind w:left="426" w:hanging="426" w:firstLineChars="0"/>
        <w:jc w:val="left"/>
        <w:rPr>
          <w:rFonts w:hAnsi="宋体"/>
          <w:color w:val="auto"/>
          <w:sz w:val="24"/>
          <w:highlight w:val="none"/>
        </w:rPr>
      </w:pPr>
      <w:r>
        <w:rPr>
          <w:rFonts w:hint="eastAsia" w:hAnsi="宋体"/>
          <w:color w:val="auto"/>
          <w:sz w:val="24"/>
          <w:highlight w:val="none"/>
        </w:rPr>
        <w:t>最低评标价法</w:t>
      </w:r>
    </w:p>
    <w:p>
      <w:pPr>
        <w:pStyle w:val="24"/>
        <w:widowControl/>
        <w:numPr>
          <w:ilvl w:val="1"/>
          <w:numId w:val="67"/>
        </w:numPr>
        <w:tabs>
          <w:tab w:val="left" w:pos="709"/>
        </w:tabs>
        <w:snapToGrid w:val="0"/>
        <w:spacing w:line="360" w:lineRule="auto"/>
        <w:ind w:left="426" w:hanging="283" w:firstLineChars="0"/>
        <w:jc w:val="left"/>
        <w:rPr>
          <w:rFonts w:ascii="宋体" w:hAnsi="宋体"/>
          <w:bCs/>
          <w:color w:val="auto"/>
          <w:sz w:val="24"/>
          <w:highlight w:val="none"/>
        </w:rPr>
      </w:pPr>
      <w:r>
        <w:rPr>
          <w:rFonts w:hint="eastAsia" w:ascii="宋体" w:hAnsi="宋体"/>
          <w:bCs/>
          <w:color w:val="auto"/>
          <w:sz w:val="24"/>
          <w:highlight w:val="none"/>
        </w:rPr>
        <w:t>最低评标价法，是指投标文件满足招标文件全部实质性要求，且投标报价最低的投标人为中标候选人的评标方法。</w:t>
      </w:r>
    </w:p>
    <w:p>
      <w:pPr>
        <w:pStyle w:val="24"/>
        <w:widowControl/>
        <w:numPr>
          <w:ilvl w:val="1"/>
          <w:numId w:val="67"/>
        </w:numPr>
        <w:tabs>
          <w:tab w:val="left" w:pos="709"/>
        </w:tabs>
        <w:snapToGrid w:val="0"/>
        <w:spacing w:line="360" w:lineRule="auto"/>
        <w:ind w:left="426" w:hanging="283" w:firstLineChars="0"/>
        <w:jc w:val="left"/>
        <w:rPr>
          <w:rFonts w:ascii="宋体" w:hAnsi="宋体"/>
          <w:bCs/>
          <w:color w:val="auto"/>
          <w:sz w:val="24"/>
          <w:highlight w:val="none"/>
        </w:rPr>
      </w:pPr>
      <w:r>
        <w:rPr>
          <w:rFonts w:hint="eastAsia" w:ascii="宋体" w:hAnsi="宋体"/>
          <w:bCs/>
          <w:color w:val="auto"/>
          <w:sz w:val="24"/>
          <w:highlight w:val="none"/>
        </w:rPr>
        <w:t>评标步骤：</w:t>
      </w:r>
    </w:p>
    <w:p>
      <w:pPr>
        <w:pStyle w:val="24"/>
        <w:widowControl/>
        <w:numPr>
          <w:ilvl w:val="0"/>
          <w:numId w:val="70"/>
        </w:numPr>
        <w:snapToGrid w:val="0"/>
        <w:spacing w:line="360" w:lineRule="auto"/>
        <w:ind w:left="851" w:hanging="425" w:firstLineChars="0"/>
        <w:jc w:val="left"/>
        <w:rPr>
          <w:rFonts w:ascii="宋体" w:hAnsi="宋体" w:cs="宋体"/>
          <w:color w:val="auto"/>
          <w:sz w:val="24"/>
          <w:highlight w:val="none"/>
          <w:lang w:eastAsia="zh-TW"/>
        </w:rPr>
      </w:pPr>
      <w:r>
        <w:rPr>
          <w:rFonts w:hint="eastAsia" w:ascii="宋体" w:hAnsi="宋体" w:cs="宋体"/>
          <w:color w:val="auto"/>
          <w:sz w:val="24"/>
          <w:highlight w:val="none"/>
          <w:lang w:eastAsia="zh-TW"/>
        </w:rPr>
        <w:t>资格性审查：开标结束后，采购人或者采购代理机构应当依法对投标人的资格进行审查，详见《资格性审查表》。未通过资格性审查的投标人，不进入符合性审查。</w:t>
      </w:r>
    </w:p>
    <w:p>
      <w:pPr>
        <w:pStyle w:val="24"/>
        <w:widowControl/>
        <w:numPr>
          <w:ilvl w:val="0"/>
          <w:numId w:val="70"/>
        </w:numPr>
        <w:snapToGrid w:val="0"/>
        <w:spacing w:line="360" w:lineRule="auto"/>
        <w:ind w:left="851" w:hanging="425" w:firstLineChars="0"/>
        <w:jc w:val="left"/>
        <w:rPr>
          <w:rFonts w:ascii="宋体" w:hAnsi="宋体" w:cs="宋体"/>
          <w:color w:val="auto"/>
          <w:sz w:val="24"/>
          <w:highlight w:val="none"/>
          <w:lang w:eastAsia="zh-TW"/>
        </w:rPr>
      </w:pPr>
      <w:r>
        <w:rPr>
          <w:rFonts w:hint="eastAsia" w:ascii="宋体" w:hAnsi="宋体" w:cs="宋体"/>
          <w:color w:val="auto"/>
          <w:sz w:val="24"/>
          <w:highlight w:val="none"/>
          <w:lang w:eastAsia="zh-TW"/>
        </w:rPr>
        <w:t>符合性审查：评标委员会应当对通过资格性审查的投标人的投标文件进行符合性审查，详见《符合性审查表》，以确定其是否满足招标文件的实质性要求。未通过符合性审查的投标人，不进入价格评审。</w:t>
      </w:r>
    </w:p>
    <w:p>
      <w:pPr>
        <w:pStyle w:val="24"/>
        <w:widowControl/>
        <w:numPr>
          <w:ilvl w:val="0"/>
          <w:numId w:val="67"/>
        </w:numPr>
        <w:snapToGrid w:val="0"/>
        <w:spacing w:line="360" w:lineRule="auto"/>
        <w:ind w:left="426" w:hanging="426" w:firstLineChars="0"/>
        <w:jc w:val="left"/>
        <w:rPr>
          <w:rFonts w:hAnsi="宋体"/>
          <w:color w:val="auto"/>
          <w:sz w:val="24"/>
          <w:highlight w:val="none"/>
        </w:rPr>
      </w:pPr>
      <w:r>
        <w:rPr>
          <w:rFonts w:hint="eastAsia" w:ascii="宋体" w:hAnsi="宋体" w:cs="宋体"/>
          <w:color w:val="auto"/>
          <w:sz w:val="24"/>
          <w:highlight w:val="none"/>
        </w:rPr>
        <w:t>除非</w:t>
      </w:r>
      <w:r>
        <w:rPr>
          <w:rFonts w:hint="eastAsia" w:ascii="宋体" w:hAnsi="宋体" w:cs="黑体"/>
          <w:b/>
          <w:color w:val="auto"/>
          <w:sz w:val="24"/>
          <w:highlight w:val="none"/>
        </w:rPr>
        <w:t>投标人须知前附表</w:t>
      </w:r>
      <w:r>
        <w:rPr>
          <w:rFonts w:hint="eastAsia" w:ascii="宋体" w:hAnsi="宋体" w:cs="宋体"/>
          <w:color w:val="auto"/>
          <w:sz w:val="24"/>
          <w:highlight w:val="none"/>
        </w:rPr>
        <w:t>中另有规定，</w:t>
      </w:r>
      <w:r>
        <w:rPr>
          <w:rFonts w:hint="eastAsia" w:hAnsi="宋体"/>
          <w:color w:val="auto"/>
          <w:sz w:val="24"/>
          <w:highlight w:val="none"/>
        </w:rPr>
        <w:t>投标文件报价出现前后不一致的，按照下列规定修正：</w:t>
      </w:r>
    </w:p>
    <w:p>
      <w:pPr>
        <w:pStyle w:val="24"/>
        <w:widowControl/>
        <w:numPr>
          <w:ilvl w:val="1"/>
          <w:numId w:val="67"/>
        </w:numPr>
        <w:tabs>
          <w:tab w:val="left" w:pos="709"/>
        </w:tabs>
        <w:snapToGrid w:val="0"/>
        <w:spacing w:line="360" w:lineRule="auto"/>
        <w:ind w:left="426" w:hanging="283" w:firstLineChars="0"/>
        <w:jc w:val="left"/>
        <w:rPr>
          <w:rFonts w:ascii="宋体" w:hAnsi="宋体"/>
          <w:bCs/>
          <w:color w:val="auto"/>
          <w:sz w:val="24"/>
          <w:highlight w:val="none"/>
        </w:rPr>
      </w:pPr>
      <w:r>
        <w:rPr>
          <w:rFonts w:hint="eastAsia" w:ascii="宋体" w:hAnsi="宋体"/>
          <w:bCs/>
          <w:color w:val="auto"/>
          <w:sz w:val="24"/>
          <w:highlight w:val="none"/>
        </w:rPr>
        <w:t>投标文件中开标一览表（报价表）内容与投标文件中相应内容不一致的，以开标一览表（报价表）为准；</w:t>
      </w:r>
    </w:p>
    <w:p>
      <w:pPr>
        <w:pStyle w:val="24"/>
        <w:widowControl/>
        <w:numPr>
          <w:ilvl w:val="1"/>
          <w:numId w:val="67"/>
        </w:numPr>
        <w:tabs>
          <w:tab w:val="left" w:pos="709"/>
        </w:tabs>
        <w:snapToGrid w:val="0"/>
        <w:spacing w:line="360" w:lineRule="auto"/>
        <w:ind w:left="426" w:hanging="283" w:firstLineChars="0"/>
        <w:jc w:val="left"/>
        <w:rPr>
          <w:rFonts w:ascii="宋体" w:hAnsi="宋体"/>
          <w:bCs/>
          <w:color w:val="auto"/>
          <w:sz w:val="24"/>
          <w:highlight w:val="none"/>
        </w:rPr>
      </w:pPr>
      <w:r>
        <w:rPr>
          <w:rFonts w:hint="eastAsia" w:ascii="宋体" w:hAnsi="宋体"/>
          <w:bCs/>
          <w:color w:val="auto"/>
          <w:sz w:val="24"/>
          <w:highlight w:val="none"/>
        </w:rPr>
        <w:t>大写金额和小写金额不一致的，以大写金额为准；</w:t>
      </w:r>
    </w:p>
    <w:p>
      <w:pPr>
        <w:pStyle w:val="24"/>
        <w:widowControl/>
        <w:numPr>
          <w:ilvl w:val="1"/>
          <w:numId w:val="67"/>
        </w:numPr>
        <w:tabs>
          <w:tab w:val="left" w:pos="709"/>
        </w:tabs>
        <w:snapToGrid w:val="0"/>
        <w:spacing w:line="360" w:lineRule="auto"/>
        <w:ind w:left="426" w:hanging="283" w:firstLineChars="0"/>
        <w:jc w:val="left"/>
        <w:rPr>
          <w:rFonts w:ascii="宋体" w:hAnsi="宋体"/>
          <w:bCs/>
          <w:color w:val="auto"/>
          <w:sz w:val="24"/>
          <w:highlight w:val="none"/>
        </w:rPr>
      </w:pPr>
      <w:r>
        <w:rPr>
          <w:rFonts w:hint="eastAsia" w:ascii="宋体" w:hAnsi="宋体"/>
          <w:bCs/>
          <w:color w:val="auto"/>
          <w:sz w:val="24"/>
          <w:highlight w:val="none"/>
        </w:rPr>
        <w:t>单价金额小数点或者百分比有明显错位的，以开标一览表的总价为准，并修改单价；</w:t>
      </w:r>
    </w:p>
    <w:p>
      <w:pPr>
        <w:pStyle w:val="24"/>
        <w:widowControl/>
        <w:numPr>
          <w:ilvl w:val="1"/>
          <w:numId w:val="67"/>
        </w:numPr>
        <w:tabs>
          <w:tab w:val="left" w:pos="709"/>
        </w:tabs>
        <w:snapToGrid w:val="0"/>
        <w:spacing w:line="360" w:lineRule="auto"/>
        <w:ind w:left="426" w:hanging="283" w:firstLineChars="0"/>
        <w:jc w:val="left"/>
        <w:rPr>
          <w:rFonts w:ascii="宋体" w:hAnsi="宋体"/>
          <w:bCs/>
          <w:color w:val="auto"/>
          <w:sz w:val="24"/>
          <w:highlight w:val="none"/>
        </w:rPr>
      </w:pPr>
      <w:r>
        <w:rPr>
          <w:rFonts w:hint="eastAsia" w:ascii="宋体" w:hAnsi="宋体"/>
          <w:bCs/>
          <w:color w:val="auto"/>
          <w:sz w:val="24"/>
          <w:highlight w:val="none"/>
        </w:rPr>
        <w:t>总价金额与按单价汇总金额不一致的，以单价金额计算结果为准。</w:t>
      </w:r>
    </w:p>
    <w:p>
      <w:pPr>
        <w:widowControl/>
        <w:snapToGrid w:val="0"/>
        <w:spacing w:line="360" w:lineRule="auto"/>
        <w:ind w:firstLine="600" w:firstLineChars="250"/>
        <w:jc w:val="left"/>
        <w:rPr>
          <w:rFonts w:ascii="宋体" w:hAnsi="宋体" w:cs="宋体"/>
          <w:b/>
          <w:color w:val="auto"/>
          <w:sz w:val="24"/>
          <w:highlight w:val="none"/>
        </w:rPr>
      </w:pPr>
      <w:r>
        <w:rPr>
          <w:rFonts w:hint="eastAsia" w:ascii="宋体" w:hAnsi="宋体" w:cs="宋体"/>
          <w:color w:val="auto"/>
          <w:sz w:val="24"/>
          <w:highlight w:val="none"/>
          <w:lang w:eastAsia="zh-TW"/>
        </w:rPr>
        <w:t>同时出现两种以上不一致的，按照前款规定的顺序修正。修正后的报价按照</w:t>
      </w:r>
      <w:r>
        <w:rPr>
          <w:rFonts w:hint="eastAsia" w:ascii="宋体" w:hAnsi="宋体" w:cs="宋体"/>
          <w:color w:val="auto"/>
          <w:sz w:val="24"/>
          <w:highlight w:val="none"/>
        </w:rPr>
        <w:t>本章“</w:t>
      </w:r>
      <w:r>
        <w:rPr>
          <w:rFonts w:hint="eastAsia" w:ascii="宋体" w:hAnsi="宋体" w:cs="宋体"/>
          <w:b/>
          <w:color w:val="auto"/>
          <w:sz w:val="24"/>
          <w:highlight w:val="none"/>
        </w:rPr>
        <w:t>评标委员会组成及职责”</w:t>
      </w:r>
      <w:r>
        <w:rPr>
          <w:rFonts w:hint="eastAsia" w:ascii="宋体" w:hAnsi="宋体" w:cs="宋体"/>
          <w:color w:val="auto"/>
          <w:sz w:val="24"/>
          <w:highlight w:val="none"/>
        </w:rPr>
        <w:t>第（6）点</w:t>
      </w:r>
      <w:r>
        <w:rPr>
          <w:rFonts w:hint="eastAsia" w:ascii="宋体" w:hAnsi="宋体" w:cs="宋体"/>
          <w:color w:val="auto"/>
          <w:sz w:val="24"/>
          <w:highlight w:val="none"/>
          <w:lang w:eastAsia="zh-TW"/>
        </w:rPr>
        <w:t>的规定经投标人确认后产生约束力，投标人不确认的，其</w:t>
      </w:r>
      <w:r>
        <w:rPr>
          <w:rFonts w:hint="eastAsia" w:ascii="宋体" w:hAnsi="宋体" w:cs="宋体"/>
          <w:b/>
          <w:color w:val="auto"/>
          <w:sz w:val="24"/>
          <w:highlight w:val="none"/>
          <w:lang w:eastAsia="zh-TW"/>
        </w:rPr>
        <w:t>投标无效</w:t>
      </w:r>
      <w:r>
        <w:rPr>
          <w:rFonts w:hint="eastAsia" w:ascii="宋体" w:hAnsi="宋体" w:cs="宋体"/>
          <w:b/>
          <w:color w:val="auto"/>
          <w:sz w:val="24"/>
          <w:highlight w:val="none"/>
        </w:rPr>
        <w:t>。</w:t>
      </w:r>
    </w:p>
    <w:p>
      <w:pPr>
        <w:pStyle w:val="24"/>
        <w:widowControl/>
        <w:numPr>
          <w:ilvl w:val="0"/>
          <w:numId w:val="67"/>
        </w:numPr>
        <w:snapToGrid w:val="0"/>
        <w:spacing w:line="360" w:lineRule="auto"/>
        <w:ind w:left="709" w:hanging="709" w:firstLineChars="0"/>
        <w:jc w:val="left"/>
        <w:rPr>
          <w:rFonts w:hAnsi="宋体"/>
          <w:color w:val="auto"/>
          <w:sz w:val="24"/>
          <w:highlight w:val="none"/>
        </w:rPr>
      </w:pPr>
      <w:r>
        <w:rPr>
          <w:rFonts w:hint="eastAsia" w:hAnsi="宋体"/>
          <w:color w:val="auto"/>
          <w:sz w:val="24"/>
          <w:highlight w:val="none"/>
        </w:rPr>
        <w:t>价格评审：除了算术修正和落实政府采购政策需进行的价格扣除外，不能对投标人的投标价格进行任何调整，详见《价格扣除》。</w:t>
      </w:r>
    </w:p>
    <w:p>
      <w:pPr>
        <w:pStyle w:val="24"/>
        <w:widowControl/>
        <w:numPr>
          <w:ilvl w:val="0"/>
          <w:numId w:val="67"/>
        </w:numPr>
        <w:snapToGrid w:val="0"/>
        <w:spacing w:line="360" w:lineRule="auto"/>
        <w:ind w:left="709" w:hanging="709" w:firstLineChars="0"/>
        <w:jc w:val="left"/>
        <w:rPr>
          <w:rFonts w:hAnsi="宋体"/>
          <w:color w:val="auto"/>
          <w:sz w:val="24"/>
          <w:highlight w:val="none"/>
        </w:rPr>
      </w:pPr>
      <w:r>
        <w:rPr>
          <w:rFonts w:hint="eastAsia" w:hAnsi="宋体"/>
          <w:color w:val="auto"/>
          <w:sz w:val="24"/>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4"/>
        <w:widowControl/>
        <w:numPr>
          <w:ilvl w:val="0"/>
          <w:numId w:val="67"/>
        </w:numPr>
        <w:snapToGrid w:val="0"/>
        <w:spacing w:line="360" w:lineRule="auto"/>
        <w:ind w:left="709" w:hanging="709" w:firstLineChars="0"/>
        <w:jc w:val="left"/>
        <w:rPr>
          <w:rFonts w:hAnsi="宋体"/>
          <w:color w:val="auto"/>
          <w:sz w:val="24"/>
          <w:highlight w:val="none"/>
        </w:rPr>
      </w:pPr>
      <w:r>
        <w:rPr>
          <w:rFonts w:hint="eastAsia" w:hAnsi="宋体"/>
          <w:color w:val="auto"/>
          <w:sz w:val="24"/>
          <w:highlight w:val="none"/>
        </w:rPr>
        <w:t>评标委员会成员对需要共同认定的事项存在争议的，应当按照少数服从多数的原则作出结论。持不同意见的评标委员会成员应当在评标报告上签署不同意见及理由，否则视为同意评标报告。</w:t>
      </w:r>
    </w:p>
    <w:p>
      <w:pPr>
        <w:numPr>
          <w:ilvl w:val="0"/>
          <w:numId w:val="62"/>
        </w:numPr>
        <w:autoSpaceDE w:val="0"/>
        <w:autoSpaceDN w:val="0"/>
        <w:snapToGrid w:val="0"/>
        <w:spacing w:line="360" w:lineRule="auto"/>
        <w:ind w:left="487" w:hanging="487" w:hangingChars="202"/>
        <w:outlineLvl w:val="3"/>
        <w:rPr>
          <w:rFonts w:hAnsi="宋体"/>
          <w:b/>
          <w:color w:val="auto"/>
          <w:sz w:val="24"/>
          <w:highlight w:val="none"/>
        </w:rPr>
      </w:pPr>
      <w:r>
        <w:rPr>
          <w:rFonts w:hint="eastAsia" w:hAnsi="宋体"/>
          <w:b/>
          <w:color w:val="auto"/>
          <w:sz w:val="24"/>
          <w:highlight w:val="none"/>
        </w:rPr>
        <w:t>推荐中标候选人</w:t>
      </w:r>
    </w:p>
    <w:p>
      <w:pPr>
        <w:pStyle w:val="24"/>
        <w:widowControl/>
        <w:numPr>
          <w:ilvl w:val="0"/>
          <w:numId w:val="71"/>
        </w:numPr>
        <w:spacing w:line="360" w:lineRule="auto"/>
        <w:ind w:left="426" w:hanging="426" w:firstLineChars="0"/>
        <w:jc w:val="left"/>
        <w:rPr>
          <w:rFonts w:ascii="宋体" w:hAnsi="宋体" w:cs="宋体"/>
          <w:color w:val="auto"/>
          <w:sz w:val="24"/>
          <w:highlight w:val="none"/>
          <w:lang w:eastAsia="zh-TW"/>
        </w:rPr>
      </w:pPr>
      <w:r>
        <w:rPr>
          <w:rFonts w:hint="eastAsia" w:hAnsi="宋体"/>
          <w:b/>
          <w:color w:val="auto"/>
          <w:sz w:val="24"/>
          <w:highlight w:val="none"/>
        </w:rPr>
        <w:t>综合评分法</w:t>
      </w:r>
    </w:p>
    <w:p>
      <w:pPr>
        <w:pStyle w:val="24"/>
        <w:widowControl/>
        <w:numPr>
          <w:ilvl w:val="1"/>
          <w:numId w:val="71"/>
        </w:numPr>
        <w:spacing w:line="360" w:lineRule="auto"/>
        <w:ind w:left="567" w:hanging="567" w:firstLineChars="0"/>
        <w:jc w:val="left"/>
        <w:rPr>
          <w:rFonts w:ascii="宋体" w:hAnsi="宋体" w:cs="宋体"/>
          <w:color w:val="auto"/>
          <w:sz w:val="24"/>
          <w:highlight w:val="none"/>
          <w:lang w:eastAsia="zh-TW"/>
        </w:rPr>
      </w:pPr>
      <w:r>
        <w:rPr>
          <w:rFonts w:hint="eastAsia" w:ascii="宋体" w:hAnsi="宋体" w:cs="宋体"/>
          <w:color w:val="auto"/>
          <w:sz w:val="24"/>
          <w:highlight w:val="none"/>
          <w:lang w:eastAsia="zh-TW"/>
        </w:rPr>
        <w:t>使用综合评分法的采购项目，单一产品采购</w:t>
      </w:r>
      <w:r>
        <w:rPr>
          <w:rFonts w:hint="eastAsia" w:ascii="宋体" w:hAnsi="宋体"/>
          <w:color w:val="auto"/>
          <w:sz w:val="24"/>
          <w:highlight w:val="none"/>
        </w:rPr>
        <w:t>项目</w:t>
      </w:r>
      <w:r>
        <w:rPr>
          <w:rFonts w:hint="eastAsia" w:ascii="宋体" w:hAnsi="宋体" w:cs="宋体"/>
          <w:color w:val="auto"/>
          <w:sz w:val="24"/>
          <w:highlight w:val="none"/>
          <w:lang w:eastAsia="zh-TW"/>
        </w:rPr>
        <w:t>提供相同品牌产品或</w:t>
      </w:r>
      <w:r>
        <w:rPr>
          <w:rFonts w:hint="eastAsia" w:ascii="宋体" w:hAnsi="宋体"/>
          <w:color w:val="auto"/>
          <w:sz w:val="24"/>
          <w:highlight w:val="none"/>
        </w:rPr>
        <w:t>非单一产品采购项目多家投标人提供的核心产品品牌相同的，</w:t>
      </w:r>
      <w:r>
        <w:rPr>
          <w:rFonts w:hint="eastAsia" w:ascii="宋体" w:hAnsi="宋体" w:cs="宋体"/>
          <w:color w:val="auto"/>
          <w:sz w:val="24"/>
          <w:highlight w:val="none"/>
          <w:lang w:eastAsia="zh-TW"/>
        </w:rPr>
        <w:t>且通过资格审查、符合性审查的不同投标人参加同一合同项下投标的，按一家投标人计算，评审后得分最高的同品牌投标人获得中标人推荐资格；评审得分相同的，按投标报价由低到高顺序排列；得分且投标报价相同的，由采购人委托评标委员会采取随机抽取方式确定，其他同品牌投标人不作为中标候选人。</w:t>
      </w:r>
    </w:p>
    <w:p>
      <w:pPr>
        <w:pStyle w:val="24"/>
        <w:widowControl/>
        <w:numPr>
          <w:ilvl w:val="1"/>
          <w:numId w:val="71"/>
        </w:numPr>
        <w:spacing w:line="360" w:lineRule="auto"/>
        <w:ind w:left="567" w:hanging="567" w:firstLineChars="0"/>
        <w:jc w:val="left"/>
        <w:rPr>
          <w:rFonts w:ascii="宋体" w:hAnsi="宋体" w:cs="宋体"/>
          <w:color w:val="auto"/>
          <w:sz w:val="24"/>
          <w:highlight w:val="none"/>
          <w:lang w:eastAsia="zh-TW"/>
        </w:rPr>
      </w:pPr>
      <w:r>
        <w:rPr>
          <w:rFonts w:hint="eastAsia" w:ascii="宋体" w:hAnsi="宋体"/>
          <w:color w:val="auto"/>
          <w:sz w:val="24"/>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24"/>
        <w:widowControl/>
        <w:numPr>
          <w:ilvl w:val="0"/>
          <w:numId w:val="71"/>
        </w:numPr>
        <w:snapToGrid w:val="0"/>
        <w:spacing w:line="360" w:lineRule="auto"/>
        <w:ind w:left="426" w:hanging="426" w:firstLineChars="0"/>
        <w:jc w:val="left"/>
        <w:rPr>
          <w:rFonts w:ascii="宋体" w:hAnsi="宋体"/>
          <w:b/>
          <w:color w:val="auto"/>
          <w:sz w:val="24"/>
          <w:highlight w:val="none"/>
        </w:rPr>
      </w:pPr>
      <w:r>
        <w:rPr>
          <w:rFonts w:hint="eastAsia" w:ascii="宋体" w:hAnsi="宋体"/>
          <w:b/>
          <w:color w:val="auto"/>
          <w:sz w:val="24"/>
          <w:highlight w:val="none"/>
        </w:rPr>
        <w:t>最低评标价法：</w:t>
      </w:r>
    </w:p>
    <w:p>
      <w:pPr>
        <w:pStyle w:val="24"/>
        <w:widowControl/>
        <w:numPr>
          <w:ilvl w:val="1"/>
          <w:numId w:val="71"/>
        </w:numPr>
        <w:snapToGrid w:val="0"/>
        <w:spacing w:line="360" w:lineRule="auto"/>
        <w:ind w:left="567" w:hanging="567" w:firstLineChars="0"/>
        <w:jc w:val="left"/>
        <w:rPr>
          <w:rFonts w:ascii="宋体" w:hAnsi="宋体" w:cs="宋体"/>
          <w:color w:val="auto"/>
          <w:sz w:val="24"/>
          <w:highlight w:val="none"/>
          <w:lang w:eastAsia="zh-TW"/>
        </w:rPr>
      </w:pPr>
      <w:r>
        <w:rPr>
          <w:rFonts w:hint="eastAsia" w:ascii="宋体" w:hAnsi="宋体" w:cs="宋体"/>
          <w:color w:val="auto"/>
          <w:sz w:val="24"/>
          <w:highlight w:val="none"/>
          <w:lang w:eastAsia="zh-TW"/>
        </w:rPr>
        <w:t>采用最低评标价法的采购项目，单一产品采购</w:t>
      </w:r>
      <w:r>
        <w:rPr>
          <w:rFonts w:hint="eastAsia" w:ascii="宋体" w:hAnsi="宋体"/>
          <w:color w:val="auto"/>
          <w:sz w:val="24"/>
          <w:highlight w:val="none"/>
        </w:rPr>
        <w:t>项目</w:t>
      </w:r>
      <w:r>
        <w:rPr>
          <w:rFonts w:hint="eastAsia" w:ascii="宋体" w:hAnsi="宋体" w:cs="宋体"/>
          <w:color w:val="auto"/>
          <w:sz w:val="24"/>
          <w:highlight w:val="none"/>
          <w:lang w:eastAsia="zh-TW"/>
        </w:rPr>
        <w:t>提供相同品牌产品的不同投标人参加同一合同项下投标的或</w:t>
      </w:r>
      <w:r>
        <w:rPr>
          <w:rFonts w:hint="eastAsia" w:ascii="宋体" w:hAnsi="宋体"/>
          <w:color w:val="auto"/>
          <w:sz w:val="24"/>
          <w:highlight w:val="none"/>
        </w:rPr>
        <w:t>非单一产品采购项目多家投标人提供的核心产品品牌相同的</w:t>
      </w:r>
      <w:r>
        <w:rPr>
          <w:rFonts w:hint="eastAsia" w:ascii="宋体" w:hAnsi="宋体" w:cs="宋体"/>
          <w:color w:val="auto"/>
          <w:sz w:val="24"/>
          <w:highlight w:val="none"/>
          <w:lang w:eastAsia="zh-TW"/>
        </w:rPr>
        <w:t>，以其中通过资格审查、符合性审查且报价最低的参加评标；报价相同的，由评标委员会采取随机抽取方式确定，</w:t>
      </w:r>
      <w:r>
        <w:rPr>
          <w:rFonts w:hint="eastAsia" w:ascii="宋体" w:hAnsi="宋体" w:cs="宋体"/>
          <w:b/>
          <w:color w:val="auto"/>
          <w:sz w:val="24"/>
          <w:highlight w:val="none"/>
          <w:lang w:eastAsia="zh-TW"/>
        </w:rPr>
        <w:t>其他投标无效</w:t>
      </w:r>
      <w:r>
        <w:rPr>
          <w:rFonts w:hint="eastAsia" w:ascii="宋体" w:hAnsi="宋体" w:cs="宋体"/>
          <w:color w:val="auto"/>
          <w:sz w:val="24"/>
          <w:highlight w:val="none"/>
          <w:lang w:eastAsia="zh-TW"/>
        </w:rPr>
        <w:t>。</w:t>
      </w:r>
    </w:p>
    <w:p>
      <w:pPr>
        <w:pStyle w:val="24"/>
        <w:widowControl/>
        <w:numPr>
          <w:ilvl w:val="1"/>
          <w:numId w:val="71"/>
        </w:numPr>
        <w:snapToGrid w:val="0"/>
        <w:spacing w:line="360" w:lineRule="auto"/>
        <w:ind w:left="567" w:hanging="567" w:firstLineChars="0"/>
        <w:jc w:val="left"/>
        <w:rPr>
          <w:rFonts w:ascii="宋体" w:hAnsi="宋体" w:cs="宋体"/>
          <w:color w:val="auto"/>
          <w:sz w:val="24"/>
          <w:highlight w:val="none"/>
          <w:lang w:eastAsia="zh-TW"/>
        </w:rPr>
      </w:pPr>
      <w:r>
        <w:rPr>
          <w:rFonts w:hint="eastAsia" w:ascii="宋体" w:hAnsi="宋体"/>
          <w:color w:val="auto"/>
          <w:sz w:val="24"/>
          <w:highlight w:val="none"/>
        </w:rPr>
        <w:t>采用最低评标价法的，评标结果按投标报价由低到高顺序排列。投标报价相同的并列。投标文件满足招标文件全部实质性要求且投标报价最低的投标人为排名第一的中标候选人。</w:t>
      </w:r>
    </w:p>
    <w:p>
      <w:pPr>
        <w:pStyle w:val="24"/>
        <w:widowControl/>
        <w:numPr>
          <w:ilvl w:val="0"/>
          <w:numId w:val="71"/>
        </w:numPr>
        <w:snapToGrid w:val="0"/>
        <w:spacing w:line="360" w:lineRule="auto"/>
        <w:ind w:left="426" w:hanging="426" w:firstLineChars="0"/>
        <w:jc w:val="left"/>
        <w:rPr>
          <w:rFonts w:ascii="宋体" w:hAnsi="宋体"/>
          <w:color w:val="auto"/>
          <w:sz w:val="24"/>
          <w:highlight w:val="none"/>
        </w:rPr>
      </w:pPr>
      <w:r>
        <w:rPr>
          <w:rFonts w:hint="eastAsia" w:ascii="宋体" w:hAnsi="宋体"/>
          <w:color w:val="auto"/>
          <w:sz w:val="24"/>
          <w:highlight w:val="none"/>
        </w:rPr>
        <w:t>本项目按照</w:t>
      </w:r>
      <w:r>
        <w:rPr>
          <w:rFonts w:hint="eastAsia" w:ascii="宋体" w:hAnsi="宋体"/>
          <w:b/>
          <w:color w:val="auto"/>
          <w:sz w:val="24"/>
          <w:highlight w:val="none"/>
        </w:rPr>
        <w:t>投标人须知前附表</w:t>
      </w:r>
      <w:r>
        <w:rPr>
          <w:rFonts w:hint="eastAsia" w:ascii="宋体" w:hAnsi="宋体"/>
          <w:color w:val="auto"/>
          <w:sz w:val="24"/>
          <w:highlight w:val="none"/>
        </w:rPr>
        <w:t>规定的方式推荐中标候选人。</w:t>
      </w:r>
    </w:p>
    <w:p>
      <w:pPr>
        <w:numPr>
          <w:ilvl w:val="0"/>
          <w:numId w:val="62"/>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确定中标人</w:t>
      </w:r>
    </w:p>
    <w:p>
      <w:pPr>
        <w:pStyle w:val="24"/>
        <w:widowControl/>
        <w:numPr>
          <w:ilvl w:val="0"/>
          <w:numId w:val="72"/>
        </w:numPr>
        <w:snapToGrid w:val="0"/>
        <w:spacing w:line="360" w:lineRule="auto"/>
        <w:ind w:left="426" w:hanging="426" w:firstLineChars="0"/>
        <w:jc w:val="left"/>
        <w:rPr>
          <w:rFonts w:ascii="宋体" w:hAnsi="宋体"/>
          <w:strike/>
          <w:color w:val="auto"/>
          <w:sz w:val="24"/>
          <w:highlight w:val="none"/>
        </w:rPr>
      </w:pPr>
      <w:r>
        <w:rPr>
          <w:rFonts w:hint="eastAsia" w:ascii="宋体" w:hAnsi="宋体"/>
          <w:color w:val="auto"/>
          <w:sz w:val="24"/>
          <w:highlight w:val="none"/>
        </w:rPr>
        <w:t>本项目评审顺序按照包组的自然顺序进行独立评审，允许投标人兼投但不兼中，同时对多包组投标的投标人，投标人只能中标本项目其中一个包组。如投标人在前一包组已被评审为第一中标候选人，则评审委员会在评审后面包组时，已经作为第一中标候选人的投标人只作为有效投标人，不再作为后面包组的中标候选人，后面包组第一中标候选人按其他投标人（除已被推选为第一中标候选人）的名次依次递补，依次类推。如包组无中标候选人情况下，该包组废标，需重新进行采购活动。</w:t>
      </w:r>
    </w:p>
    <w:p>
      <w:pPr>
        <w:pStyle w:val="24"/>
        <w:widowControl/>
        <w:numPr>
          <w:ilvl w:val="0"/>
          <w:numId w:val="72"/>
        </w:numPr>
        <w:snapToGrid w:val="0"/>
        <w:spacing w:line="360" w:lineRule="auto"/>
        <w:ind w:left="426" w:hanging="426" w:firstLineChars="0"/>
        <w:jc w:val="left"/>
        <w:rPr>
          <w:rFonts w:ascii="宋体" w:hAnsi="宋体"/>
          <w:strike/>
          <w:color w:val="auto"/>
          <w:sz w:val="24"/>
          <w:highlight w:val="none"/>
        </w:rPr>
      </w:pPr>
      <w:r>
        <w:rPr>
          <w:rFonts w:hint="eastAsia" w:ascii="宋体" w:hAnsi="宋体"/>
          <w:color w:val="auto"/>
          <w:sz w:val="24"/>
          <w:highlight w:val="none"/>
        </w:rPr>
        <w:t>中标候选人并列的，按</w:t>
      </w:r>
      <w:r>
        <w:rPr>
          <w:rFonts w:hint="eastAsia" w:ascii="宋体" w:hAnsi="宋体"/>
          <w:b/>
          <w:color w:val="auto"/>
          <w:sz w:val="24"/>
          <w:highlight w:val="none"/>
        </w:rPr>
        <w:t>投标人须知前附表</w:t>
      </w:r>
      <w:r>
        <w:rPr>
          <w:rFonts w:hint="eastAsia" w:ascii="宋体" w:hAnsi="宋体"/>
          <w:color w:val="auto"/>
          <w:sz w:val="24"/>
          <w:highlight w:val="none"/>
        </w:rPr>
        <w:t>规定确定中标人。</w:t>
      </w:r>
    </w:p>
    <w:p>
      <w:pPr>
        <w:pStyle w:val="24"/>
        <w:widowControl/>
        <w:numPr>
          <w:ilvl w:val="0"/>
          <w:numId w:val="72"/>
        </w:numPr>
        <w:snapToGrid w:val="0"/>
        <w:spacing w:line="360" w:lineRule="auto"/>
        <w:ind w:left="426" w:hanging="426" w:firstLineChars="0"/>
        <w:jc w:val="left"/>
        <w:rPr>
          <w:rFonts w:ascii="宋体" w:hAnsi="宋体"/>
          <w:color w:val="auto"/>
          <w:sz w:val="24"/>
          <w:highlight w:val="none"/>
        </w:rPr>
      </w:pPr>
      <w:r>
        <w:rPr>
          <w:rFonts w:hint="eastAsia" w:ascii="宋体" w:hAnsi="宋体"/>
          <w:color w:val="auto"/>
          <w:sz w:val="24"/>
          <w:highlight w:val="none"/>
        </w:rPr>
        <w:t>采购代理机构</w:t>
      </w:r>
      <w:r>
        <w:rPr>
          <w:rFonts w:ascii="宋体" w:hAnsi="宋体"/>
          <w:color w:val="auto"/>
          <w:sz w:val="24"/>
          <w:highlight w:val="none"/>
        </w:rPr>
        <w:t>提</w:t>
      </w:r>
      <w:r>
        <w:rPr>
          <w:rFonts w:hint="eastAsia" w:ascii="宋体" w:hAnsi="宋体"/>
          <w:color w:val="auto"/>
          <w:sz w:val="24"/>
          <w:highlight w:val="none"/>
        </w:rPr>
        <w:t>交</w:t>
      </w:r>
      <w:r>
        <w:rPr>
          <w:rFonts w:ascii="宋体" w:hAnsi="宋体"/>
          <w:color w:val="auto"/>
          <w:sz w:val="24"/>
          <w:highlight w:val="none"/>
        </w:rPr>
        <w:t>评</w:t>
      </w:r>
      <w:r>
        <w:rPr>
          <w:rFonts w:hint="eastAsia" w:ascii="宋体" w:hAnsi="宋体"/>
          <w:color w:val="auto"/>
          <w:sz w:val="24"/>
          <w:highlight w:val="none"/>
        </w:rPr>
        <w:t>标</w:t>
      </w:r>
      <w:r>
        <w:rPr>
          <w:rFonts w:ascii="宋体" w:hAnsi="宋体"/>
          <w:color w:val="auto"/>
          <w:sz w:val="24"/>
          <w:highlight w:val="none"/>
        </w:rPr>
        <w:t>报告报</w:t>
      </w:r>
      <w:r>
        <w:rPr>
          <w:rFonts w:hint="eastAsia" w:ascii="宋体" w:hAnsi="宋体"/>
          <w:color w:val="auto"/>
          <w:sz w:val="24"/>
          <w:highlight w:val="none"/>
        </w:rPr>
        <w:t>采购</w:t>
      </w:r>
      <w:r>
        <w:rPr>
          <w:rFonts w:ascii="宋体" w:hAnsi="宋体"/>
          <w:color w:val="auto"/>
          <w:sz w:val="24"/>
          <w:highlight w:val="none"/>
        </w:rPr>
        <w:t>人</w:t>
      </w:r>
      <w:r>
        <w:rPr>
          <w:rFonts w:hint="eastAsia" w:ascii="宋体" w:hAnsi="宋体"/>
          <w:color w:val="auto"/>
          <w:sz w:val="24"/>
          <w:highlight w:val="none"/>
        </w:rPr>
        <w:t>确认，采购人在收到评标报告5个工作日内确定中标人，按照评标报告中确定的中标候选人顺序确定中标人，也可以事先授权评标委员会直接确定中标人。</w:t>
      </w:r>
    </w:p>
    <w:p>
      <w:pPr>
        <w:pStyle w:val="24"/>
        <w:widowControl/>
        <w:numPr>
          <w:ilvl w:val="0"/>
          <w:numId w:val="72"/>
        </w:numPr>
        <w:snapToGrid w:val="0"/>
        <w:spacing w:line="360" w:lineRule="auto"/>
        <w:ind w:left="426" w:hanging="426" w:firstLineChars="0"/>
        <w:jc w:val="left"/>
        <w:rPr>
          <w:rFonts w:ascii="宋体" w:hAnsi="宋体"/>
          <w:color w:val="auto"/>
          <w:sz w:val="24"/>
          <w:highlight w:val="none"/>
        </w:rPr>
      </w:pPr>
      <w:r>
        <w:rPr>
          <w:rFonts w:hint="eastAsia" w:ascii="宋体" w:hAnsi="宋体"/>
          <w:color w:val="auto"/>
          <w:sz w:val="24"/>
          <w:highlight w:val="none"/>
        </w:rPr>
        <w:t>中标人拒绝与采购人签订合同的，采购人可以按照评标报告推荐的中标候选人名单排序，确定下一候选人为中标人，也可以重新开展政府采购活动。</w:t>
      </w:r>
    </w:p>
    <w:p>
      <w:pPr>
        <w:numPr>
          <w:ilvl w:val="0"/>
          <w:numId w:val="62"/>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中标公告及中标通知书</w:t>
      </w:r>
    </w:p>
    <w:p>
      <w:pPr>
        <w:numPr>
          <w:ilvl w:val="1"/>
          <w:numId w:val="62"/>
        </w:numPr>
        <w:autoSpaceDE w:val="0"/>
        <w:autoSpaceDN w:val="0"/>
        <w:snapToGrid w:val="0"/>
        <w:spacing w:line="360" w:lineRule="auto"/>
        <w:rPr>
          <w:rFonts w:ascii="宋体" w:hAnsi="宋体" w:cs="黑体"/>
          <w:b/>
          <w:bCs/>
          <w:color w:val="auto"/>
          <w:sz w:val="24"/>
          <w:highlight w:val="none"/>
        </w:rPr>
      </w:pPr>
      <w:r>
        <w:rPr>
          <w:rFonts w:hint="eastAsia" w:ascii="宋体" w:hAnsi="宋体" w:cs="宋体"/>
          <w:color w:val="auto"/>
          <w:sz w:val="24"/>
          <w:highlight w:val="none"/>
          <w:lang w:eastAsia="zh-TW"/>
        </w:rPr>
        <w:t>中标人确定后</w:t>
      </w:r>
      <w:r>
        <w:rPr>
          <w:rFonts w:hint="eastAsia" w:ascii="宋体" w:hAnsi="宋体" w:cs="宋体"/>
          <w:color w:val="auto"/>
          <w:sz w:val="24"/>
          <w:highlight w:val="none"/>
        </w:rPr>
        <w:t>，</w:t>
      </w:r>
      <w:r>
        <w:rPr>
          <w:rFonts w:hint="eastAsia" w:ascii="宋体" w:hAnsi="宋体" w:cs="宋体"/>
          <w:color w:val="auto"/>
          <w:sz w:val="24"/>
          <w:highlight w:val="none"/>
          <w:lang w:eastAsia="zh-TW"/>
        </w:rPr>
        <w:t>采购代理机构将在</w:t>
      </w:r>
      <w:r>
        <w:rPr>
          <w:rFonts w:hint="eastAsia" w:ascii="宋体" w:hAnsi="宋体" w:cs="宋体"/>
          <w:color w:val="auto"/>
          <w:sz w:val="24"/>
          <w:highlight w:val="none"/>
        </w:rPr>
        <w:t>发布采购信息公告的法定媒体</w:t>
      </w:r>
      <w:r>
        <w:rPr>
          <w:rFonts w:hint="eastAsia" w:ascii="宋体" w:hAnsi="宋体" w:cs="宋体"/>
          <w:color w:val="auto"/>
          <w:sz w:val="24"/>
          <w:highlight w:val="none"/>
          <w:lang w:eastAsia="zh-TW"/>
        </w:rPr>
        <w:t>上发布中标公告，并向中标人发出《中标通知书》，向采购人及未中标人发出《招标结果通知书》，《中标通知书》对中标人和采购人具有同等法律效力。</w:t>
      </w:r>
    </w:p>
    <w:p>
      <w:pPr>
        <w:numPr>
          <w:ilvl w:val="1"/>
          <w:numId w:val="62"/>
        </w:numPr>
        <w:autoSpaceDE w:val="0"/>
        <w:autoSpaceDN w:val="0"/>
        <w:snapToGrid w:val="0"/>
        <w:spacing w:line="360" w:lineRule="auto"/>
        <w:rPr>
          <w:rFonts w:ascii="宋体" w:hAnsi="宋体" w:cs="黑体"/>
          <w:b/>
          <w:bCs/>
          <w:color w:val="auto"/>
          <w:sz w:val="24"/>
          <w:highlight w:val="none"/>
        </w:rPr>
      </w:pPr>
      <w:r>
        <w:rPr>
          <w:rFonts w:hint="eastAsia" w:ascii="宋体" w:hAnsi="宋体"/>
          <w:color w:val="auto"/>
          <w:sz w:val="24"/>
          <w:highlight w:val="none"/>
        </w:rPr>
        <w:t>《中标通知书》将作为授予合同资格的合法依据，是合同的一个组成部分。</w:t>
      </w:r>
    </w:p>
    <w:p>
      <w:pPr>
        <w:numPr>
          <w:ilvl w:val="0"/>
          <w:numId w:val="62"/>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采购代理服务费</w:t>
      </w:r>
    </w:p>
    <w:p>
      <w:pPr>
        <w:numPr>
          <w:ilvl w:val="1"/>
          <w:numId w:val="62"/>
        </w:numPr>
        <w:autoSpaceDE w:val="0"/>
        <w:autoSpaceDN w:val="0"/>
        <w:snapToGrid w:val="0"/>
        <w:spacing w:line="360" w:lineRule="auto"/>
        <w:rPr>
          <w:rFonts w:ascii="宋体" w:hAnsi="宋体" w:cs="黑体"/>
          <w:b/>
          <w:bCs/>
          <w:color w:val="auto"/>
          <w:sz w:val="24"/>
          <w:highlight w:val="none"/>
        </w:rPr>
      </w:pPr>
      <w:r>
        <w:rPr>
          <w:rFonts w:hint="eastAsia" w:ascii="宋体" w:hAnsi="宋体" w:cs="宋体"/>
          <w:color w:val="auto"/>
          <w:sz w:val="24"/>
          <w:highlight w:val="none"/>
        </w:rPr>
        <w:t>中标人应按照招标文件</w:t>
      </w:r>
      <w:r>
        <w:rPr>
          <w:rFonts w:hint="eastAsia" w:ascii="宋体" w:hAnsi="宋体" w:cs="宋体"/>
          <w:b/>
          <w:color w:val="auto"/>
          <w:sz w:val="24"/>
          <w:highlight w:val="none"/>
        </w:rPr>
        <w:t>投标人须知前附表</w:t>
      </w:r>
      <w:r>
        <w:rPr>
          <w:rFonts w:hint="eastAsia" w:ascii="宋体" w:hAnsi="宋体" w:cs="宋体"/>
          <w:color w:val="auto"/>
          <w:sz w:val="24"/>
          <w:highlight w:val="none"/>
        </w:rPr>
        <w:t>中的规定缴纳采购代理服务费。</w:t>
      </w:r>
    </w:p>
    <w:p>
      <w:pPr>
        <w:numPr>
          <w:ilvl w:val="0"/>
          <w:numId w:val="62"/>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合同的订立</w:t>
      </w:r>
    </w:p>
    <w:p>
      <w:pPr>
        <w:numPr>
          <w:ilvl w:val="1"/>
          <w:numId w:val="62"/>
        </w:numPr>
        <w:autoSpaceDE w:val="0"/>
        <w:autoSpaceDN w:val="0"/>
        <w:snapToGrid w:val="0"/>
        <w:spacing w:line="360" w:lineRule="auto"/>
        <w:rPr>
          <w:rFonts w:ascii="宋体" w:hAnsi="宋体" w:cs="黑体"/>
          <w:b/>
          <w:bCs/>
          <w:color w:val="auto"/>
          <w:sz w:val="24"/>
          <w:highlight w:val="none"/>
        </w:rPr>
      </w:pPr>
      <w:r>
        <w:rPr>
          <w:rFonts w:hint="eastAsia" w:ascii="宋体" w:hAnsi="宋体" w:cs="宋体"/>
          <w:color w:val="auto"/>
          <w:sz w:val="24"/>
          <w:highlight w:val="none"/>
          <w:lang w:eastAsia="zh-TW"/>
        </w:rPr>
        <w:t>采购人应当自中标通知书发出之日起三十日内，按照招标文件和中标人投标文件的约定，与中标人签订书面合同。所签订的合同不得对招标文件和中标人投标文件作实质性修改</w:t>
      </w:r>
      <w:r>
        <w:rPr>
          <w:rFonts w:hint="eastAsia" w:ascii="宋体" w:hAnsi="宋体" w:cs="宋体"/>
          <w:color w:val="auto"/>
          <w:sz w:val="24"/>
          <w:highlight w:val="none"/>
        </w:rPr>
        <w:t>。</w:t>
      </w:r>
    </w:p>
    <w:p>
      <w:pPr>
        <w:numPr>
          <w:ilvl w:val="1"/>
          <w:numId w:val="62"/>
        </w:numPr>
        <w:autoSpaceDE w:val="0"/>
        <w:autoSpaceDN w:val="0"/>
        <w:snapToGrid w:val="0"/>
        <w:spacing w:line="360" w:lineRule="auto"/>
        <w:rPr>
          <w:rFonts w:ascii="宋体" w:hAnsi="宋体" w:cs="宋体"/>
          <w:color w:val="auto"/>
          <w:sz w:val="24"/>
          <w:highlight w:val="none"/>
        </w:rPr>
      </w:pPr>
      <w:r>
        <w:rPr>
          <w:rFonts w:hint="eastAsia" w:ascii="宋体" w:hAnsi="宋体" w:cs="宋体"/>
          <w:color w:val="auto"/>
          <w:sz w:val="24"/>
          <w:highlight w:val="none"/>
          <w:lang w:eastAsia="zh-TW"/>
        </w:rPr>
        <w:t>采购人或者采购代理机构</w:t>
      </w:r>
      <w:r>
        <w:rPr>
          <w:rFonts w:hint="eastAsia" w:ascii="宋体" w:hAnsi="宋体" w:cs="宋体"/>
          <w:color w:val="auto"/>
          <w:sz w:val="24"/>
          <w:highlight w:val="none"/>
        </w:rPr>
        <w:t xml:space="preserve">不得向中标人提出任何不合理的要求，作为签订合同的条件，不得与中标人私下订立背离合同实质性内容的协议。 </w:t>
      </w:r>
    </w:p>
    <w:p>
      <w:pPr>
        <w:numPr>
          <w:ilvl w:val="1"/>
          <w:numId w:val="62"/>
        </w:numPr>
        <w:autoSpaceDE w:val="0"/>
        <w:autoSpaceDN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自</w:t>
      </w:r>
      <w:r>
        <w:rPr>
          <w:rFonts w:hint="eastAsia" w:ascii="宋体" w:hAnsi="宋体" w:cs="宋体"/>
          <w:color w:val="auto"/>
          <w:sz w:val="24"/>
          <w:highlight w:val="none"/>
          <w:lang w:eastAsia="zh-TW"/>
        </w:rPr>
        <w:t>政府采购</w:t>
      </w:r>
      <w:r>
        <w:rPr>
          <w:rFonts w:hint="eastAsia" w:ascii="宋体" w:hAnsi="宋体" w:cs="宋体"/>
          <w:color w:val="auto"/>
          <w:sz w:val="24"/>
          <w:highlight w:val="none"/>
        </w:rPr>
        <w:t>合同签订之日起2</w:t>
      </w:r>
      <w:r>
        <w:rPr>
          <w:rFonts w:hint="eastAsia" w:ascii="宋体" w:hAnsi="宋体" w:cs="宋体"/>
          <w:color w:val="auto"/>
          <w:sz w:val="24"/>
          <w:highlight w:val="none"/>
          <w:lang w:eastAsia="zh-TW"/>
        </w:rPr>
        <w:t>个工作日内，采购人应将政府采购合同</w:t>
      </w:r>
      <w:r>
        <w:rPr>
          <w:rFonts w:hint="eastAsia" w:ascii="宋体" w:hAnsi="宋体" w:cs="宋体"/>
          <w:color w:val="auto"/>
          <w:sz w:val="24"/>
          <w:highlight w:val="none"/>
        </w:rPr>
        <w:t>在省级以上人民政府财政部门指定的媒体上公告，但政府采购合同中涉及国家秘密、商业秘密的内容除外</w:t>
      </w:r>
      <w:r>
        <w:rPr>
          <w:rFonts w:hint="eastAsia" w:ascii="宋体" w:hAnsi="宋体" w:cs="宋体"/>
          <w:color w:val="auto"/>
          <w:sz w:val="24"/>
          <w:highlight w:val="none"/>
          <w:lang w:eastAsia="zh-TW"/>
        </w:rPr>
        <w:t>。</w:t>
      </w:r>
    </w:p>
    <w:p>
      <w:pPr>
        <w:numPr>
          <w:ilvl w:val="1"/>
          <w:numId w:val="62"/>
        </w:numPr>
        <w:autoSpaceDE w:val="0"/>
        <w:autoSpaceDN w:val="0"/>
        <w:snapToGrid w:val="0"/>
        <w:spacing w:line="360" w:lineRule="auto"/>
        <w:rPr>
          <w:rFonts w:ascii="宋体" w:hAnsi="宋体" w:cs="宋体"/>
          <w:color w:val="auto"/>
          <w:sz w:val="24"/>
          <w:highlight w:val="none"/>
        </w:rPr>
      </w:pPr>
      <w:r>
        <w:rPr>
          <w:rFonts w:hint="eastAsia" w:ascii="宋体" w:hAnsi="宋体" w:cs="宋体"/>
          <w:color w:val="auto"/>
          <w:sz w:val="24"/>
          <w:highlight w:val="none"/>
          <w:lang w:eastAsia="zh-TW"/>
        </w:rPr>
        <w:t>政府采购</w:t>
      </w:r>
      <w:r>
        <w:rPr>
          <w:rFonts w:hint="eastAsia" w:ascii="宋体" w:hAnsi="宋体" w:cs="宋体"/>
          <w:color w:val="auto"/>
          <w:sz w:val="24"/>
          <w:highlight w:val="none"/>
        </w:rPr>
        <w:t>合同签订之日起七</w:t>
      </w:r>
      <w:r>
        <w:rPr>
          <w:rFonts w:hint="eastAsia" w:ascii="宋体" w:hAnsi="宋体" w:cs="宋体"/>
          <w:color w:val="auto"/>
          <w:sz w:val="24"/>
          <w:highlight w:val="none"/>
          <w:lang w:eastAsia="zh-TW"/>
        </w:rPr>
        <w:t>个工作日内，采购人应将政府采购合同副本报政府采购监督管理部门备案</w:t>
      </w:r>
      <w:r>
        <w:rPr>
          <w:rFonts w:hint="eastAsia" w:ascii="宋体" w:hAnsi="宋体" w:cs="宋体"/>
          <w:color w:val="auto"/>
          <w:sz w:val="24"/>
          <w:highlight w:val="none"/>
        </w:rPr>
        <w:t>和有关部门备案</w:t>
      </w:r>
      <w:r>
        <w:rPr>
          <w:rFonts w:hint="eastAsia" w:ascii="宋体" w:hAnsi="宋体" w:cs="宋体"/>
          <w:color w:val="auto"/>
          <w:sz w:val="24"/>
          <w:highlight w:val="none"/>
          <w:lang w:eastAsia="zh-TW"/>
        </w:rPr>
        <w:t>。</w:t>
      </w:r>
    </w:p>
    <w:p>
      <w:pPr>
        <w:numPr>
          <w:ilvl w:val="0"/>
          <w:numId w:val="62"/>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合同的履行</w:t>
      </w:r>
    </w:p>
    <w:p>
      <w:pPr>
        <w:numPr>
          <w:ilvl w:val="1"/>
          <w:numId w:val="62"/>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lang w:eastAsia="zh-TW"/>
        </w:rPr>
        <w:t>政府采购合同履行中，采购人需追加与合同标的相同的货物、工程或者服务的，在不改变合同其他条款的前提下，可以与供应商签订补充合同，但所补充合同的采购金额不得超过原合同采购金额的百分之十。签订补充合同的必须按规定备案。</w:t>
      </w:r>
    </w:p>
    <w:p>
      <w:pPr>
        <w:numPr>
          <w:ilvl w:val="1"/>
          <w:numId w:val="62"/>
        </w:numPr>
        <w:autoSpaceDE w:val="0"/>
        <w:autoSpaceDN w:val="0"/>
        <w:snapToGrid w:val="0"/>
        <w:spacing w:line="360" w:lineRule="auto"/>
        <w:rPr>
          <w:rFonts w:ascii="宋体" w:hAnsi="宋体" w:cs="宋体"/>
          <w:color w:val="auto"/>
          <w:sz w:val="24"/>
          <w:highlight w:val="none"/>
          <w:lang w:eastAsia="zh-TW"/>
        </w:rPr>
      </w:pPr>
      <w:r>
        <w:rPr>
          <w:rFonts w:hint="eastAsia" w:ascii="宋体" w:hAnsi="宋体" w:cs="宋体"/>
          <w:color w:val="auto"/>
          <w:sz w:val="24"/>
          <w:highlight w:val="none"/>
        </w:rPr>
        <w:t>中标人不得将政府采购合同转包。</w:t>
      </w:r>
    </w:p>
    <w:p>
      <w:pPr>
        <w:numPr>
          <w:ilvl w:val="0"/>
          <w:numId w:val="62"/>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法律法规规定的其他属于投标无效的</w:t>
      </w:r>
    </w:p>
    <w:p>
      <w:pPr>
        <w:pStyle w:val="24"/>
        <w:widowControl/>
        <w:numPr>
          <w:ilvl w:val="1"/>
          <w:numId w:val="62"/>
        </w:numPr>
        <w:snapToGrid w:val="0"/>
        <w:spacing w:line="360" w:lineRule="auto"/>
        <w:ind w:firstLineChars="0"/>
        <w:jc w:val="left"/>
        <w:rPr>
          <w:rFonts w:ascii="宋体" w:hAnsi="宋体"/>
          <w:b/>
          <w:color w:val="auto"/>
          <w:sz w:val="24"/>
          <w:highlight w:val="none"/>
        </w:rPr>
      </w:pPr>
      <w:r>
        <w:rPr>
          <w:rFonts w:hint="eastAsia" w:ascii="宋体" w:hAnsi="宋体"/>
          <w:b/>
          <w:color w:val="auto"/>
          <w:sz w:val="24"/>
          <w:highlight w:val="none"/>
        </w:rPr>
        <w:t>有下列情形之一的，视为投标人串通投标，其投标无效：</w:t>
      </w:r>
    </w:p>
    <w:p>
      <w:pPr>
        <w:pStyle w:val="24"/>
        <w:widowControl/>
        <w:numPr>
          <w:ilvl w:val="2"/>
          <w:numId w:val="62"/>
        </w:numPr>
        <w:snapToGrid w:val="0"/>
        <w:spacing w:line="360" w:lineRule="auto"/>
        <w:ind w:firstLineChars="0"/>
        <w:jc w:val="left"/>
        <w:rPr>
          <w:rFonts w:ascii="宋体" w:hAnsi="宋体"/>
          <w:color w:val="auto"/>
          <w:sz w:val="24"/>
          <w:highlight w:val="none"/>
        </w:rPr>
      </w:pPr>
      <w:r>
        <w:rPr>
          <w:rFonts w:hint="eastAsia" w:ascii="宋体" w:hAnsi="宋体"/>
          <w:color w:val="auto"/>
          <w:sz w:val="24"/>
          <w:highlight w:val="none"/>
        </w:rPr>
        <w:t>不同投标人的投标文件由同一单位或者个人编制；</w:t>
      </w:r>
    </w:p>
    <w:p>
      <w:pPr>
        <w:pStyle w:val="24"/>
        <w:widowControl/>
        <w:numPr>
          <w:ilvl w:val="2"/>
          <w:numId w:val="62"/>
        </w:numPr>
        <w:snapToGrid w:val="0"/>
        <w:spacing w:line="360" w:lineRule="auto"/>
        <w:ind w:firstLineChars="0"/>
        <w:jc w:val="left"/>
        <w:rPr>
          <w:rFonts w:ascii="宋体" w:hAnsi="宋体"/>
          <w:color w:val="auto"/>
          <w:sz w:val="24"/>
          <w:highlight w:val="none"/>
        </w:rPr>
      </w:pPr>
      <w:r>
        <w:rPr>
          <w:rFonts w:hint="eastAsia" w:ascii="宋体" w:hAnsi="宋体"/>
          <w:color w:val="auto"/>
          <w:sz w:val="24"/>
          <w:highlight w:val="none"/>
        </w:rPr>
        <w:t>不同投标人委托同一单位或者个人办理投标事宜；</w:t>
      </w:r>
    </w:p>
    <w:p>
      <w:pPr>
        <w:pStyle w:val="24"/>
        <w:widowControl/>
        <w:numPr>
          <w:ilvl w:val="2"/>
          <w:numId w:val="62"/>
        </w:numPr>
        <w:snapToGrid w:val="0"/>
        <w:spacing w:line="360" w:lineRule="auto"/>
        <w:ind w:firstLineChars="0"/>
        <w:jc w:val="left"/>
        <w:rPr>
          <w:rFonts w:ascii="宋体" w:hAnsi="宋体"/>
          <w:color w:val="auto"/>
          <w:sz w:val="24"/>
          <w:highlight w:val="none"/>
        </w:rPr>
      </w:pPr>
      <w:r>
        <w:rPr>
          <w:rFonts w:hint="eastAsia" w:ascii="宋体" w:hAnsi="宋体"/>
          <w:color w:val="auto"/>
          <w:sz w:val="24"/>
          <w:highlight w:val="none"/>
        </w:rPr>
        <w:t>不同投标人的投标文件载明的项目管理成员或者联系人员为同一人；</w:t>
      </w:r>
    </w:p>
    <w:p>
      <w:pPr>
        <w:pStyle w:val="24"/>
        <w:widowControl/>
        <w:numPr>
          <w:ilvl w:val="2"/>
          <w:numId w:val="62"/>
        </w:numPr>
        <w:snapToGrid w:val="0"/>
        <w:spacing w:line="360" w:lineRule="auto"/>
        <w:ind w:firstLineChars="0"/>
        <w:jc w:val="left"/>
        <w:rPr>
          <w:rFonts w:ascii="宋体" w:hAnsi="宋体"/>
          <w:color w:val="auto"/>
          <w:sz w:val="24"/>
          <w:highlight w:val="none"/>
        </w:rPr>
      </w:pPr>
      <w:r>
        <w:rPr>
          <w:rFonts w:hint="eastAsia" w:ascii="宋体" w:hAnsi="宋体"/>
          <w:color w:val="auto"/>
          <w:sz w:val="24"/>
          <w:highlight w:val="none"/>
        </w:rPr>
        <w:t>不同投标人的投标文件异常一致或者投标报价呈规律性差异；</w:t>
      </w:r>
    </w:p>
    <w:p>
      <w:pPr>
        <w:pStyle w:val="24"/>
        <w:widowControl/>
        <w:numPr>
          <w:ilvl w:val="2"/>
          <w:numId w:val="62"/>
        </w:numPr>
        <w:snapToGrid w:val="0"/>
        <w:spacing w:line="360" w:lineRule="auto"/>
        <w:ind w:firstLineChars="0"/>
        <w:jc w:val="left"/>
        <w:rPr>
          <w:rFonts w:ascii="宋体" w:hAnsi="宋体"/>
          <w:color w:val="auto"/>
          <w:sz w:val="24"/>
          <w:highlight w:val="none"/>
        </w:rPr>
      </w:pPr>
      <w:r>
        <w:rPr>
          <w:rFonts w:hint="eastAsia" w:ascii="宋体" w:hAnsi="宋体"/>
          <w:color w:val="auto"/>
          <w:sz w:val="24"/>
          <w:highlight w:val="none"/>
        </w:rPr>
        <w:t>不同投标人的投标文件相互混装；</w:t>
      </w:r>
    </w:p>
    <w:p>
      <w:pPr>
        <w:pStyle w:val="24"/>
        <w:widowControl/>
        <w:numPr>
          <w:ilvl w:val="2"/>
          <w:numId w:val="62"/>
        </w:numPr>
        <w:snapToGrid w:val="0"/>
        <w:spacing w:line="360" w:lineRule="auto"/>
        <w:ind w:firstLineChars="0"/>
        <w:jc w:val="left"/>
        <w:rPr>
          <w:rFonts w:ascii="宋体" w:hAnsi="宋体"/>
          <w:color w:val="auto"/>
          <w:sz w:val="24"/>
          <w:highlight w:val="none"/>
        </w:rPr>
      </w:pPr>
      <w:r>
        <w:rPr>
          <w:rFonts w:hint="eastAsia" w:ascii="宋体" w:hAnsi="宋体"/>
          <w:color w:val="auto"/>
          <w:sz w:val="24"/>
          <w:highlight w:val="none"/>
        </w:rPr>
        <w:t>不同投标人的投标保证金从同一单位或者个人的账户转出。</w:t>
      </w:r>
    </w:p>
    <w:p>
      <w:pPr>
        <w:numPr>
          <w:ilvl w:val="0"/>
          <w:numId w:val="62"/>
        </w:numPr>
        <w:autoSpaceDE w:val="0"/>
        <w:autoSpaceDN w:val="0"/>
        <w:snapToGrid w:val="0"/>
        <w:spacing w:line="360" w:lineRule="auto"/>
        <w:ind w:left="487" w:hanging="487" w:hangingChars="202"/>
        <w:outlineLvl w:val="3"/>
        <w:rPr>
          <w:rFonts w:ascii="宋体" w:hAnsi="宋体"/>
          <w:b/>
          <w:bCs/>
          <w:color w:val="auto"/>
          <w:sz w:val="24"/>
          <w:highlight w:val="none"/>
        </w:rPr>
      </w:pPr>
      <w:r>
        <w:rPr>
          <w:rFonts w:ascii="宋体" w:hAnsi="宋体"/>
          <w:b/>
          <w:bCs/>
          <w:color w:val="auto"/>
          <w:sz w:val="24"/>
          <w:highlight w:val="none"/>
        </w:rPr>
        <w:t>废标</w:t>
      </w:r>
    </w:p>
    <w:p>
      <w:pPr>
        <w:pStyle w:val="24"/>
        <w:widowControl/>
        <w:numPr>
          <w:ilvl w:val="0"/>
          <w:numId w:val="73"/>
        </w:numPr>
        <w:tabs>
          <w:tab w:val="left" w:pos="567"/>
        </w:tabs>
        <w:snapToGrid w:val="0"/>
        <w:spacing w:line="360" w:lineRule="auto"/>
        <w:ind w:firstLineChars="0"/>
        <w:jc w:val="left"/>
        <w:rPr>
          <w:rFonts w:ascii="宋体" w:hAnsi="宋体"/>
          <w:color w:val="auto"/>
          <w:sz w:val="24"/>
          <w:highlight w:val="none"/>
        </w:rPr>
      </w:pPr>
      <w:r>
        <w:rPr>
          <w:rFonts w:ascii="宋体" w:hAnsi="宋体"/>
          <w:color w:val="auto"/>
          <w:sz w:val="24"/>
          <w:highlight w:val="none"/>
        </w:rPr>
        <w:t>在招标采购中，出现下列情形之一的，应予废标</w:t>
      </w:r>
      <w:r>
        <w:rPr>
          <w:rFonts w:hint="eastAsia" w:ascii="宋体" w:hAnsi="宋体"/>
          <w:color w:val="auto"/>
          <w:sz w:val="24"/>
          <w:highlight w:val="none"/>
        </w:rPr>
        <w:t>：</w:t>
      </w:r>
    </w:p>
    <w:p>
      <w:pPr>
        <w:pStyle w:val="24"/>
        <w:widowControl/>
        <w:numPr>
          <w:ilvl w:val="3"/>
          <w:numId w:val="62"/>
        </w:numPr>
        <w:tabs>
          <w:tab w:val="left" w:pos="426"/>
          <w:tab w:val="clear" w:pos="851"/>
        </w:tabs>
        <w:snapToGrid w:val="0"/>
        <w:spacing w:line="360" w:lineRule="auto"/>
        <w:ind w:left="426" w:hanging="425" w:firstLineChars="0"/>
        <w:jc w:val="left"/>
        <w:rPr>
          <w:rFonts w:ascii="宋体" w:hAnsi="宋体"/>
          <w:color w:val="auto"/>
          <w:sz w:val="24"/>
          <w:highlight w:val="none"/>
        </w:rPr>
      </w:pPr>
      <w:r>
        <w:rPr>
          <w:rFonts w:ascii="宋体" w:hAnsi="宋体"/>
          <w:color w:val="auto"/>
          <w:sz w:val="24"/>
          <w:highlight w:val="none"/>
        </w:rPr>
        <w:t>符合专业条件的供应商或者对</w:t>
      </w:r>
      <w:r>
        <w:rPr>
          <w:rFonts w:hint="eastAsia" w:ascii="宋体" w:hAnsi="宋体"/>
          <w:color w:val="auto"/>
          <w:sz w:val="24"/>
          <w:highlight w:val="none"/>
        </w:rPr>
        <w:t>招标</w:t>
      </w:r>
      <w:r>
        <w:rPr>
          <w:rFonts w:ascii="宋体" w:hAnsi="宋体"/>
          <w:color w:val="auto"/>
          <w:sz w:val="24"/>
          <w:highlight w:val="none"/>
        </w:rPr>
        <w:t>文件作实质响应的供应商不足三家的；</w:t>
      </w:r>
    </w:p>
    <w:p>
      <w:pPr>
        <w:pStyle w:val="24"/>
        <w:widowControl/>
        <w:numPr>
          <w:ilvl w:val="3"/>
          <w:numId w:val="62"/>
        </w:numPr>
        <w:tabs>
          <w:tab w:val="left" w:pos="426"/>
          <w:tab w:val="clear" w:pos="851"/>
        </w:tabs>
        <w:snapToGrid w:val="0"/>
        <w:spacing w:line="360" w:lineRule="auto"/>
        <w:ind w:left="426" w:hanging="425" w:firstLineChars="0"/>
        <w:jc w:val="left"/>
        <w:rPr>
          <w:rFonts w:ascii="宋体" w:hAnsi="宋体"/>
          <w:color w:val="auto"/>
          <w:sz w:val="24"/>
          <w:highlight w:val="none"/>
        </w:rPr>
      </w:pPr>
      <w:r>
        <w:rPr>
          <w:rFonts w:ascii="宋体" w:hAnsi="宋体"/>
          <w:color w:val="auto"/>
          <w:sz w:val="24"/>
          <w:highlight w:val="none"/>
        </w:rPr>
        <w:t>出现影响采购公正的违法、违规行为的；</w:t>
      </w:r>
    </w:p>
    <w:p>
      <w:pPr>
        <w:pStyle w:val="24"/>
        <w:widowControl/>
        <w:numPr>
          <w:ilvl w:val="3"/>
          <w:numId w:val="62"/>
        </w:numPr>
        <w:tabs>
          <w:tab w:val="left" w:pos="426"/>
          <w:tab w:val="clear" w:pos="851"/>
        </w:tabs>
        <w:snapToGrid w:val="0"/>
        <w:spacing w:line="360" w:lineRule="auto"/>
        <w:ind w:left="426" w:hanging="425" w:firstLineChars="0"/>
        <w:jc w:val="left"/>
        <w:rPr>
          <w:rFonts w:ascii="宋体" w:hAnsi="宋体"/>
          <w:color w:val="auto"/>
          <w:sz w:val="24"/>
          <w:highlight w:val="none"/>
        </w:rPr>
      </w:pPr>
      <w:r>
        <w:rPr>
          <w:rFonts w:ascii="宋体" w:hAnsi="宋体"/>
          <w:color w:val="auto"/>
          <w:sz w:val="24"/>
          <w:highlight w:val="none"/>
        </w:rPr>
        <w:t>投标人的报价均超过了采购预算，采购人不能支付的；</w:t>
      </w:r>
    </w:p>
    <w:p>
      <w:pPr>
        <w:pStyle w:val="24"/>
        <w:widowControl/>
        <w:numPr>
          <w:ilvl w:val="3"/>
          <w:numId w:val="62"/>
        </w:numPr>
        <w:tabs>
          <w:tab w:val="left" w:pos="426"/>
          <w:tab w:val="clear" w:pos="851"/>
        </w:tabs>
        <w:snapToGrid w:val="0"/>
        <w:spacing w:line="360" w:lineRule="auto"/>
        <w:ind w:left="426" w:hanging="425" w:firstLineChars="0"/>
        <w:jc w:val="left"/>
        <w:rPr>
          <w:rFonts w:ascii="宋体" w:hAnsi="宋体"/>
          <w:color w:val="auto"/>
          <w:sz w:val="24"/>
          <w:highlight w:val="none"/>
        </w:rPr>
      </w:pPr>
      <w:r>
        <w:rPr>
          <w:rFonts w:ascii="宋体" w:hAnsi="宋体"/>
          <w:color w:val="auto"/>
          <w:sz w:val="24"/>
          <w:highlight w:val="none"/>
        </w:rPr>
        <w:t>因重大变故，采购任务取消的</w:t>
      </w:r>
      <w:r>
        <w:rPr>
          <w:rFonts w:hint="eastAsia" w:ascii="宋体" w:hAnsi="宋体"/>
          <w:color w:val="auto"/>
          <w:sz w:val="24"/>
          <w:highlight w:val="none"/>
        </w:rPr>
        <w:t>。</w:t>
      </w:r>
    </w:p>
    <w:p>
      <w:pPr>
        <w:numPr>
          <w:ilvl w:val="0"/>
          <w:numId w:val="55"/>
        </w:numPr>
        <w:tabs>
          <w:tab w:val="left" w:pos="4395"/>
        </w:tabs>
        <w:autoSpaceDE w:val="0"/>
        <w:autoSpaceDN w:val="0"/>
        <w:snapToGrid w:val="0"/>
        <w:spacing w:beforeLines="50" w:line="360" w:lineRule="auto"/>
        <w:ind w:hanging="5399"/>
        <w:jc w:val="center"/>
        <w:outlineLvl w:val="2"/>
        <w:rPr>
          <w:rFonts w:ascii="宋体" w:hAnsi="宋体"/>
          <w:b/>
          <w:color w:val="auto"/>
          <w:sz w:val="28"/>
          <w:szCs w:val="28"/>
          <w:highlight w:val="none"/>
          <w:lang w:eastAsia="zh-TW"/>
        </w:rPr>
      </w:pPr>
      <w:bookmarkStart w:id="42" w:name="_Toc29177"/>
      <w:r>
        <w:rPr>
          <w:rFonts w:hint="eastAsia" w:ascii="宋体" w:hAnsi="宋体"/>
          <w:b/>
          <w:color w:val="auto"/>
          <w:sz w:val="28"/>
          <w:szCs w:val="28"/>
          <w:highlight w:val="none"/>
          <w:lang w:eastAsia="zh-TW"/>
        </w:rPr>
        <w:t>询问、质疑与投诉</w:t>
      </w:r>
      <w:bookmarkEnd w:id="42"/>
    </w:p>
    <w:p>
      <w:pPr>
        <w:numPr>
          <w:ilvl w:val="0"/>
          <w:numId w:val="74"/>
        </w:numPr>
        <w:autoSpaceDE w:val="0"/>
        <w:autoSpaceDN w:val="0"/>
        <w:snapToGrid w:val="0"/>
        <w:spacing w:line="360" w:lineRule="auto"/>
        <w:outlineLvl w:val="3"/>
        <w:rPr>
          <w:rFonts w:ascii="宋体" w:hAnsi="宋体"/>
          <w:b/>
          <w:bCs/>
          <w:color w:val="auto"/>
          <w:sz w:val="24"/>
          <w:highlight w:val="none"/>
        </w:rPr>
      </w:pPr>
      <w:r>
        <w:rPr>
          <w:rFonts w:hint="eastAsia" w:ascii="宋体" w:hAnsi="宋体"/>
          <w:b/>
          <w:bCs/>
          <w:color w:val="auto"/>
          <w:sz w:val="24"/>
          <w:highlight w:val="none"/>
        </w:rPr>
        <w:t>询问</w:t>
      </w:r>
    </w:p>
    <w:p>
      <w:pPr>
        <w:numPr>
          <w:ilvl w:val="1"/>
          <w:numId w:val="74"/>
        </w:numPr>
        <w:autoSpaceDE w:val="0"/>
        <w:autoSpaceDN w:val="0"/>
        <w:snapToGrid w:val="0"/>
        <w:spacing w:line="360" w:lineRule="auto"/>
        <w:ind w:left="648" w:hanging="648" w:hangingChars="270"/>
        <w:rPr>
          <w:rFonts w:ascii="宋体" w:hAnsi="宋体" w:cs="黑体"/>
          <w:b/>
          <w:bCs/>
          <w:color w:val="auto"/>
          <w:sz w:val="24"/>
          <w:highlight w:val="none"/>
        </w:rPr>
      </w:pPr>
      <w:r>
        <w:rPr>
          <w:rFonts w:hint="eastAsia" w:ascii="宋体" w:hAnsi="宋体" w:cs="黑体"/>
          <w:bCs/>
          <w:color w:val="auto"/>
          <w:sz w:val="24"/>
          <w:highlight w:val="none"/>
        </w:rPr>
        <w:t>供应商对政府采购活动事项有疑问的，可以向</w:t>
      </w:r>
      <w:r>
        <w:rPr>
          <w:rFonts w:hint="eastAsia" w:ascii="宋体" w:hAnsi="宋体" w:cs="宋体"/>
          <w:color w:val="auto"/>
          <w:sz w:val="24"/>
          <w:highlight w:val="none"/>
          <w:lang w:eastAsia="zh-TW"/>
        </w:rPr>
        <w:t>采购人或者采购代理机构</w:t>
      </w:r>
      <w:r>
        <w:rPr>
          <w:rFonts w:hint="eastAsia" w:ascii="宋体" w:hAnsi="宋体" w:cs="黑体"/>
          <w:bCs/>
          <w:color w:val="auto"/>
          <w:sz w:val="24"/>
          <w:highlight w:val="none"/>
        </w:rPr>
        <w:t>提出询问，询问可以口头方式提出，也可以书面方式提出。</w:t>
      </w:r>
    </w:p>
    <w:p>
      <w:pPr>
        <w:numPr>
          <w:ilvl w:val="1"/>
          <w:numId w:val="74"/>
        </w:numPr>
        <w:autoSpaceDE w:val="0"/>
        <w:autoSpaceDN w:val="0"/>
        <w:snapToGrid w:val="0"/>
        <w:spacing w:line="360" w:lineRule="auto"/>
        <w:ind w:left="648" w:hanging="648" w:hangingChars="270"/>
        <w:rPr>
          <w:rFonts w:ascii="宋体" w:hAnsi="宋体" w:cs="黑体"/>
          <w:b/>
          <w:bCs/>
          <w:color w:val="auto"/>
          <w:sz w:val="24"/>
          <w:highlight w:val="none"/>
        </w:rPr>
      </w:pPr>
      <w:r>
        <w:rPr>
          <w:rFonts w:hint="eastAsia" w:ascii="宋体" w:hAnsi="宋体" w:cs="黑体"/>
          <w:bCs/>
          <w:color w:val="auto"/>
          <w:sz w:val="24"/>
          <w:highlight w:val="none"/>
        </w:rPr>
        <w:t>如采用书面方式提出询问，供应商为自然人的，询问函应当由本人签字；供应商为法人或者其他组织的，应当由法定代表人、主要负责人或授权代表签字或者盖个人名章，并加盖公章。投标人递交询问函时非法定代表人亲自办理的需提供法定代表人授权委托书（应载明授权代表的姓名或者名称、代理事项、具体权限、期限和相关事项）及授权代表身份证复印件。</w:t>
      </w:r>
    </w:p>
    <w:p>
      <w:pPr>
        <w:numPr>
          <w:ilvl w:val="1"/>
          <w:numId w:val="74"/>
        </w:numPr>
        <w:autoSpaceDE w:val="0"/>
        <w:autoSpaceDN w:val="0"/>
        <w:snapToGrid w:val="0"/>
        <w:spacing w:line="360" w:lineRule="auto"/>
        <w:ind w:left="648" w:hanging="648" w:hangingChars="270"/>
        <w:rPr>
          <w:rFonts w:ascii="宋体" w:hAnsi="宋体" w:cs="黑体"/>
          <w:b/>
          <w:bCs/>
          <w:color w:val="auto"/>
          <w:sz w:val="24"/>
          <w:highlight w:val="none"/>
        </w:rPr>
      </w:pPr>
      <w:r>
        <w:rPr>
          <w:rFonts w:hint="eastAsia" w:ascii="宋体" w:hAnsi="宋体" w:cs="宋体"/>
          <w:color w:val="auto"/>
          <w:sz w:val="24"/>
          <w:highlight w:val="none"/>
          <w:lang w:eastAsia="zh-TW"/>
        </w:rPr>
        <w:t>采购人或者采购代理机构</w:t>
      </w:r>
      <w:r>
        <w:rPr>
          <w:rFonts w:hint="eastAsia" w:ascii="宋体" w:hAnsi="宋体" w:cs="黑体"/>
          <w:bCs/>
          <w:color w:val="auto"/>
          <w:sz w:val="24"/>
          <w:highlight w:val="none"/>
        </w:rPr>
        <w:t>在三个工作日内对供应商依法提出的询问作出答复。</w:t>
      </w:r>
    </w:p>
    <w:p>
      <w:pPr>
        <w:numPr>
          <w:ilvl w:val="1"/>
          <w:numId w:val="74"/>
        </w:numPr>
        <w:autoSpaceDE w:val="0"/>
        <w:autoSpaceDN w:val="0"/>
        <w:snapToGrid w:val="0"/>
        <w:spacing w:line="360" w:lineRule="auto"/>
        <w:ind w:left="566" w:hanging="566" w:hangingChars="236"/>
        <w:rPr>
          <w:rFonts w:ascii="宋体" w:hAnsi="宋体" w:cs="黑体"/>
          <w:bCs/>
          <w:color w:val="auto"/>
          <w:sz w:val="24"/>
          <w:highlight w:val="none"/>
        </w:rPr>
      </w:pPr>
      <w:r>
        <w:rPr>
          <w:rFonts w:hint="eastAsia" w:hAnsi="宋体"/>
          <w:snapToGrid w:val="0"/>
          <w:color w:val="auto"/>
          <w:sz w:val="24"/>
          <w:highlight w:val="none"/>
        </w:rPr>
        <w:t>采购人或采购代理机构接收以书面形式递交的询问函，接收询问函的联系人、联系方式和通讯地址详见</w:t>
      </w:r>
      <w:r>
        <w:rPr>
          <w:rFonts w:hint="eastAsia" w:hAnsi="宋体"/>
          <w:b/>
          <w:snapToGrid w:val="0"/>
          <w:color w:val="auto"/>
          <w:sz w:val="24"/>
          <w:highlight w:val="none"/>
        </w:rPr>
        <w:t>投标人须知前附表</w:t>
      </w:r>
      <w:r>
        <w:rPr>
          <w:rFonts w:hint="eastAsia" w:ascii="宋体" w:hAnsi="宋体"/>
          <w:color w:val="auto"/>
          <w:sz w:val="24"/>
          <w:highlight w:val="none"/>
        </w:rPr>
        <w:t>。</w:t>
      </w:r>
    </w:p>
    <w:p>
      <w:pPr>
        <w:numPr>
          <w:ilvl w:val="0"/>
          <w:numId w:val="74"/>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质疑</w:t>
      </w:r>
    </w:p>
    <w:p>
      <w:pPr>
        <w:numPr>
          <w:ilvl w:val="1"/>
          <w:numId w:val="74"/>
        </w:numPr>
        <w:autoSpaceDE w:val="0"/>
        <w:autoSpaceDN w:val="0"/>
        <w:snapToGrid w:val="0"/>
        <w:spacing w:line="360" w:lineRule="auto"/>
        <w:ind w:left="566" w:hanging="566" w:hangingChars="236"/>
        <w:rPr>
          <w:rFonts w:ascii="宋体" w:hAnsi="宋体" w:cs="黑体"/>
          <w:b/>
          <w:bCs/>
          <w:color w:val="auto"/>
          <w:sz w:val="24"/>
          <w:highlight w:val="none"/>
        </w:rPr>
      </w:pPr>
      <w:r>
        <w:rPr>
          <w:rFonts w:hint="eastAsia" w:ascii="宋体" w:hAnsi="宋体" w:cs="黑体"/>
          <w:bCs/>
          <w:color w:val="auto"/>
          <w:sz w:val="24"/>
          <w:highlight w:val="none"/>
        </w:rPr>
        <w:t>质疑期限：</w:t>
      </w:r>
    </w:p>
    <w:p>
      <w:pPr>
        <w:numPr>
          <w:ilvl w:val="2"/>
          <w:numId w:val="74"/>
        </w:numPr>
        <w:autoSpaceDE w:val="0"/>
        <w:autoSpaceDN w:val="0"/>
        <w:snapToGrid w:val="0"/>
        <w:spacing w:line="360" w:lineRule="auto"/>
        <w:ind w:left="566" w:hanging="566" w:hangingChars="236"/>
        <w:rPr>
          <w:rFonts w:ascii="宋体" w:hAnsi="宋体" w:cs="黑体"/>
          <w:b/>
          <w:bCs/>
          <w:color w:val="auto"/>
          <w:sz w:val="24"/>
          <w:highlight w:val="none"/>
        </w:rPr>
      </w:pPr>
      <w:r>
        <w:rPr>
          <w:rFonts w:hint="eastAsia" w:ascii="宋体" w:hAnsi="宋体" w:cs="黑体"/>
          <w:bCs/>
          <w:color w:val="auto"/>
          <w:sz w:val="24"/>
          <w:highlight w:val="none"/>
        </w:rPr>
        <w:t>供应商认为</w:t>
      </w:r>
      <w:r>
        <w:rPr>
          <w:rFonts w:hint="eastAsia" w:ascii="宋体" w:hAnsi="宋体" w:cs="黑体"/>
          <w:bCs/>
          <w:color w:val="auto"/>
          <w:sz w:val="24"/>
          <w:highlight w:val="none"/>
          <w:u w:val="double"/>
        </w:rPr>
        <w:t>招标文件的内容</w:t>
      </w:r>
      <w:r>
        <w:rPr>
          <w:rFonts w:hint="eastAsia" w:ascii="宋体" w:hAnsi="宋体" w:cs="黑体"/>
          <w:bCs/>
          <w:color w:val="auto"/>
          <w:sz w:val="24"/>
          <w:highlight w:val="none"/>
        </w:rPr>
        <w:t>损害其权益的，应在收到招标文件之日或者招标文件公告期届满之日起七个工作日内。</w:t>
      </w:r>
    </w:p>
    <w:p>
      <w:pPr>
        <w:numPr>
          <w:ilvl w:val="2"/>
          <w:numId w:val="74"/>
        </w:numPr>
        <w:autoSpaceDE w:val="0"/>
        <w:autoSpaceDN w:val="0"/>
        <w:snapToGrid w:val="0"/>
        <w:spacing w:line="360" w:lineRule="auto"/>
        <w:ind w:left="566" w:hanging="566" w:hangingChars="236"/>
        <w:rPr>
          <w:rFonts w:ascii="宋体" w:hAnsi="宋体" w:cs="黑体"/>
          <w:bCs/>
          <w:color w:val="auto"/>
          <w:sz w:val="24"/>
          <w:highlight w:val="none"/>
        </w:rPr>
      </w:pPr>
      <w:r>
        <w:rPr>
          <w:rFonts w:hint="eastAsia" w:ascii="宋体" w:hAnsi="宋体" w:cs="黑体"/>
          <w:bCs/>
          <w:color w:val="auto"/>
          <w:sz w:val="24"/>
          <w:highlight w:val="none"/>
        </w:rPr>
        <w:t>供应商购买招标文件之日早于招标文件公告期限届满之日的，则以供应商购买招标文件之日为质疑时效期间的起算日期；否则，以招标文件公告期限届满之日为质疑时效期间的起算日期。</w:t>
      </w:r>
    </w:p>
    <w:p>
      <w:pPr>
        <w:numPr>
          <w:ilvl w:val="2"/>
          <w:numId w:val="74"/>
        </w:numPr>
        <w:autoSpaceDE w:val="0"/>
        <w:autoSpaceDN w:val="0"/>
        <w:snapToGrid w:val="0"/>
        <w:spacing w:line="360" w:lineRule="auto"/>
        <w:ind w:left="566" w:hanging="566" w:hangingChars="236"/>
        <w:rPr>
          <w:rFonts w:ascii="宋体" w:hAnsi="宋体" w:cs="黑体"/>
          <w:b/>
          <w:bCs/>
          <w:color w:val="auto"/>
          <w:sz w:val="24"/>
          <w:highlight w:val="none"/>
        </w:rPr>
      </w:pPr>
      <w:r>
        <w:rPr>
          <w:rFonts w:hint="eastAsia" w:ascii="宋体" w:hAnsi="宋体" w:cs="黑体"/>
          <w:bCs/>
          <w:color w:val="auto"/>
          <w:sz w:val="24"/>
          <w:highlight w:val="none"/>
        </w:rPr>
        <w:t>供应商认为</w:t>
      </w:r>
      <w:r>
        <w:rPr>
          <w:rFonts w:hint="eastAsia" w:ascii="宋体" w:hAnsi="宋体" w:cs="黑体"/>
          <w:bCs/>
          <w:color w:val="auto"/>
          <w:sz w:val="24"/>
          <w:highlight w:val="none"/>
          <w:u w:val="double"/>
        </w:rPr>
        <w:t>采购过程</w:t>
      </w:r>
      <w:r>
        <w:rPr>
          <w:rFonts w:hint="eastAsia" w:ascii="宋体" w:hAnsi="宋体" w:cs="黑体"/>
          <w:bCs/>
          <w:color w:val="auto"/>
          <w:sz w:val="24"/>
          <w:highlight w:val="none"/>
        </w:rPr>
        <w:t>损害其权益的，应在各采购程序环节结束之日起七个工作日内。</w:t>
      </w:r>
    </w:p>
    <w:p>
      <w:pPr>
        <w:numPr>
          <w:ilvl w:val="2"/>
          <w:numId w:val="74"/>
        </w:numPr>
        <w:autoSpaceDE w:val="0"/>
        <w:autoSpaceDN w:val="0"/>
        <w:snapToGrid w:val="0"/>
        <w:spacing w:line="360" w:lineRule="auto"/>
        <w:ind w:left="566" w:hanging="566" w:hangingChars="236"/>
        <w:rPr>
          <w:rFonts w:ascii="宋体" w:hAnsi="宋体" w:cs="黑体"/>
          <w:b/>
          <w:bCs/>
          <w:color w:val="auto"/>
          <w:sz w:val="24"/>
          <w:highlight w:val="none"/>
        </w:rPr>
      </w:pPr>
      <w:r>
        <w:rPr>
          <w:rFonts w:hint="eastAsia" w:ascii="宋体" w:hAnsi="宋体" w:cs="黑体"/>
          <w:bCs/>
          <w:color w:val="auto"/>
          <w:sz w:val="24"/>
          <w:highlight w:val="none"/>
        </w:rPr>
        <w:t>供应商认为</w:t>
      </w:r>
      <w:r>
        <w:rPr>
          <w:rFonts w:hint="eastAsia" w:ascii="宋体" w:hAnsi="宋体" w:cs="黑体"/>
          <w:bCs/>
          <w:color w:val="auto"/>
          <w:sz w:val="24"/>
          <w:highlight w:val="none"/>
          <w:u w:val="double"/>
        </w:rPr>
        <w:t>中标或者成交结果</w:t>
      </w:r>
      <w:r>
        <w:rPr>
          <w:rFonts w:hint="eastAsia" w:ascii="宋体" w:hAnsi="宋体" w:cs="黑体"/>
          <w:bCs/>
          <w:color w:val="auto"/>
          <w:sz w:val="24"/>
          <w:highlight w:val="none"/>
        </w:rPr>
        <w:t>损害其权益的，应在中标或者成交结果公告期限届满之日起七个工作日内。</w:t>
      </w:r>
    </w:p>
    <w:p>
      <w:pPr>
        <w:numPr>
          <w:ilvl w:val="1"/>
          <w:numId w:val="74"/>
        </w:numPr>
        <w:autoSpaceDE w:val="0"/>
        <w:autoSpaceDN w:val="0"/>
        <w:snapToGrid w:val="0"/>
        <w:spacing w:line="360" w:lineRule="auto"/>
        <w:ind w:left="566" w:hanging="566" w:hangingChars="236"/>
        <w:rPr>
          <w:rFonts w:ascii="宋体" w:hAnsi="宋体" w:cs="黑体"/>
          <w:bCs/>
          <w:color w:val="auto"/>
          <w:sz w:val="24"/>
          <w:highlight w:val="none"/>
        </w:rPr>
      </w:pPr>
      <w:r>
        <w:rPr>
          <w:rFonts w:hint="eastAsia" w:ascii="宋体" w:hAnsi="宋体" w:cs="黑体"/>
          <w:bCs/>
          <w:color w:val="auto"/>
          <w:sz w:val="24"/>
          <w:highlight w:val="none"/>
        </w:rPr>
        <w:t>提交要求：</w:t>
      </w:r>
    </w:p>
    <w:p>
      <w:pPr>
        <w:numPr>
          <w:ilvl w:val="2"/>
          <w:numId w:val="74"/>
        </w:numPr>
        <w:autoSpaceDE w:val="0"/>
        <w:autoSpaceDN w:val="0"/>
        <w:snapToGrid w:val="0"/>
        <w:spacing w:line="360" w:lineRule="auto"/>
        <w:ind w:left="566" w:hanging="566" w:hangingChars="236"/>
        <w:rPr>
          <w:rFonts w:ascii="宋体" w:hAnsi="宋体" w:cs="黑体"/>
          <w:bCs/>
          <w:color w:val="auto"/>
          <w:sz w:val="24"/>
          <w:highlight w:val="none"/>
        </w:rPr>
      </w:pPr>
      <w:r>
        <w:rPr>
          <w:rFonts w:hint="eastAsia" w:ascii="宋体" w:hAnsi="宋体" w:cs="黑体"/>
          <w:bCs/>
          <w:color w:val="auto"/>
          <w:sz w:val="24"/>
          <w:highlight w:val="none"/>
        </w:rPr>
        <w:t>以</w:t>
      </w:r>
      <w:r>
        <w:rPr>
          <w:rFonts w:ascii="宋体" w:hAnsi="宋体" w:cs="黑体"/>
          <w:bCs/>
          <w:color w:val="auto"/>
          <w:sz w:val="24"/>
          <w:highlight w:val="none"/>
        </w:rPr>
        <w:t>书面纸质质疑函原件（不包括电报、电传、传真、电子数据交换和电子邮件等形式提出的质疑函</w:t>
      </w:r>
      <w:r>
        <w:rPr>
          <w:rFonts w:hint="eastAsia" w:ascii="宋体" w:hAnsi="宋体" w:cs="黑体"/>
          <w:bCs/>
          <w:color w:val="auto"/>
          <w:sz w:val="24"/>
          <w:highlight w:val="none"/>
        </w:rPr>
        <w:t>）向采购人或者采购代理机构</w:t>
      </w:r>
      <w:r>
        <w:rPr>
          <w:rFonts w:hint="eastAsia" w:ascii="宋体" w:hAnsi="宋体" w:cs="宋体"/>
          <w:color w:val="auto"/>
          <w:sz w:val="24"/>
          <w:highlight w:val="none"/>
        </w:rPr>
        <w:t>一次性提出针对同一采购程序环节的</w:t>
      </w:r>
      <w:r>
        <w:rPr>
          <w:rFonts w:hint="eastAsia" w:ascii="宋体" w:hAnsi="宋体" w:cs="黑体"/>
          <w:bCs/>
          <w:color w:val="auto"/>
          <w:sz w:val="24"/>
          <w:highlight w:val="none"/>
        </w:rPr>
        <w:t>质疑。</w:t>
      </w:r>
    </w:p>
    <w:p>
      <w:pPr>
        <w:numPr>
          <w:ilvl w:val="2"/>
          <w:numId w:val="74"/>
        </w:numPr>
        <w:autoSpaceDE w:val="0"/>
        <w:autoSpaceDN w:val="0"/>
        <w:snapToGrid w:val="0"/>
        <w:spacing w:line="360" w:lineRule="auto"/>
        <w:ind w:left="566" w:hanging="566" w:hangingChars="236"/>
        <w:rPr>
          <w:rFonts w:ascii="宋体" w:hAnsi="宋体" w:cs="黑体"/>
          <w:bCs/>
          <w:color w:val="auto"/>
          <w:sz w:val="24"/>
          <w:highlight w:val="none"/>
        </w:rPr>
      </w:pPr>
      <w:r>
        <w:rPr>
          <w:rFonts w:hint="eastAsia" w:ascii="宋体" w:hAnsi="宋体" w:cs="黑体"/>
          <w:bCs/>
          <w:color w:val="auto"/>
          <w:sz w:val="24"/>
          <w:highlight w:val="none"/>
        </w:rPr>
        <w:t>以联合体形式参加政府采购活动的，其质疑应当由组成联合体的所有供应商共同提出。</w:t>
      </w:r>
    </w:p>
    <w:p>
      <w:pPr>
        <w:numPr>
          <w:ilvl w:val="2"/>
          <w:numId w:val="74"/>
        </w:numPr>
        <w:autoSpaceDE w:val="0"/>
        <w:autoSpaceDN w:val="0"/>
        <w:snapToGrid w:val="0"/>
        <w:spacing w:line="360" w:lineRule="auto"/>
        <w:ind w:left="566" w:hanging="566" w:hangingChars="236"/>
        <w:rPr>
          <w:rFonts w:ascii="宋体" w:hAnsi="宋体" w:cs="黑体"/>
          <w:bCs/>
          <w:color w:val="auto"/>
          <w:sz w:val="24"/>
          <w:highlight w:val="none"/>
        </w:rPr>
      </w:pPr>
      <w:r>
        <w:rPr>
          <w:rFonts w:hint="eastAsia" w:ascii="宋体" w:hAnsi="宋体" w:cs="黑体"/>
          <w:bCs/>
          <w:color w:val="auto"/>
          <w:sz w:val="24"/>
          <w:highlight w:val="none"/>
        </w:rPr>
        <w:t>质疑函应当包括下列内容：</w:t>
      </w:r>
    </w:p>
    <w:p>
      <w:pPr>
        <w:pStyle w:val="24"/>
        <w:widowControl/>
        <w:numPr>
          <w:ilvl w:val="1"/>
          <w:numId w:val="67"/>
        </w:numPr>
        <w:tabs>
          <w:tab w:val="left" w:pos="709"/>
        </w:tabs>
        <w:snapToGrid w:val="0"/>
        <w:spacing w:line="360" w:lineRule="auto"/>
        <w:ind w:left="426" w:hanging="283" w:firstLineChars="0"/>
        <w:jc w:val="left"/>
        <w:rPr>
          <w:rFonts w:ascii="宋体" w:hAnsi="宋体"/>
          <w:bCs/>
          <w:color w:val="auto"/>
          <w:sz w:val="24"/>
          <w:highlight w:val="none"/>
        </w:rPr>
      </w:pPr>
      <w:r>
        <w:rPr>
          <w:rFonts w:hint="eastAsia" w:ascii="宋体" w:hAnsi="宋体"/>
          <w:bCs/>
          <w:color w:val="auto"/>
          <w:sz w:val="24"/>
          <w:highlight w:val="none"/>
        </w:rPr>
        <w:t>供应商的姓名或者名称、地址、邮编、联系人及联系电话；</w:t>
      </w:r>
    </w:p>
    <w:p>
      <w:pPr>
        <w:pStyle w:val="24"/>
        <w:widowControl/>
        <w:numPr>
          <w:ilvl w:val="1"/>
          <w:numId w:val="67"/>
        </w:numPr>
        <w:tabs>
          <w:tab w:val="left" w:pos="709"/>
        </w:tabs>
        <w:snapToGrid w:val="0"/>
        <w:spacing w:line="360" w:lineRule="auto"/>
        <w:ind w:left="426" w:hanging="283" w:firstLineChars="0"/>
        <w:jc w:val="left"/>
        <w:rPr>
          <w:rFonts w:ascii="宋体" w:hAnsi="宋体"/>
          <w:bCs/>
          <w:color w:val="auto"/>
          <w:sz w:val="24"/>
          <w:highlight w:val="none"/>
        </w:rPr>
      </w:pPr>
      <w:r>
        <w:rPr>
          <w:rFonts w:hint="eastAsia" w:ascii="宋体" w:hAnsi="宋体"/>
          <w:bCs/>
          <w:color w:val="auto"/>
          <w:sz w:val="24"/>
          <w:highlight w:val="none"/>
        </w:rPr>
        <w:t>质疑项目的名称及编号；</w:t>
      </w:r>
    </w:p>
    <w:p>
      <w:pPr>
        <w:pStyle w:val="24"/>
        <w:widowControl/>
        <w:numPr>
          <w:ilvl w:val="1"/>
          <w:numId w:val="67"/>
        </w:numPr>
        <w:tabs>
          <w:tab w:val="left" w:pos="709"/>
        </w:tabs>
        <w:snapToGrid w:val="0"/>
        <w:spacing w:line="360" w:lineRule="auto"/>
        <w:ind w:left="426" w:hanging="283" w:firstLineChars="0"/>
        <w:jc w:val="left"/>
        <w:rPr>
          <w:rFonts w:ascii="宋体" w:hAnsi="宋体"/>
          <w:bCs/>
          <w:color w:val="auto"/>
          <w:sz w:val="24"/>
          <w:highlight w:val="none"/>
        </w:rPr>
      </w:pPr>
      <w:r>
        <w:rPr>
          <w:rFonts w:hint="eastAsia" w:ascii="宋体" w:hAnsi="宋体"/>
          <w:bCs/>
          <w:color w:val="auto"/>
          <w:sz w:val="24"/>
          <w:highlight w:val="none"/>
        </w:rPr>
        <w:t>具体、明确的质疑事项和与质疑事项相关的请求；</w:t>
      </w:r>
    </w:p>
    <w:p>
      <w:pPr>
        <w:pStyle w:val="24"/>
        <w:widowControl/>
        <w:numPr>
          <w:ilvl w:val="1"/>
          <w:numId w:val="67"/>
        </w:numPr>
        <w:tabs>
          <w:tab w:val="left" w:pos="709"/>
        </w:tabs>
        <w:snapToGrid w:val="0"/>
        <w:spacing w:line="360" w:lineRule="auto"/>
        <w:ind w:left="426" w:hanging="283" w:firstLineChars="0"/>
        <w:jc w:val="left"/>
        <w:rPr>
          <w:rFonts w:ascii="宋体" w:hAnsi="宋体"/>
          <w:bCs/>
          <w:color w:val="auto"/>
          <w:sz w:val="24"/>
          <w:highlight w:val="none"/>
        </w:rPr>
      </w:pPr>
      <w:r>
        <w:rPr>
          <w:rFonts w:hint="eastAsia" w:ascii="宋体" w:hAnsi="宋体"/>
          <w:bCs/>
          <w:color w:val="auto"/>
          <w:sz w:val="24"/>
          <w:highlight w:val="none"/>
        </w:rPr>
        <w:t>事实依据；</w:t>
      </w:r>
    </w:p>
    <w:p>
      <w:pPr>
        <w:pStyle w:val="24"/>
        <w:widowControl/>
        <w:numPr>
          <w:ilvl w:val="1"/>
          <w:numId w:val="67"/>
        </w:numPr>
        <w:tabs>
          <w:tab w:val="left" w:pos="709"/>
        </w:tabs>
        <w:snapToGrid w:val="0"/>
        <w:spacing w:line="360" w:lineRule="auto"/>
        <w:ind w:left="426" w:hanging="283" w:firstLineChars="0"/>
        <w:jc w:val="left"/>
        <w:rPr>
          <w:rFonts w:ascii="宋体" w:hAnsi="宋体"/>
          <w:bCs/>
          <w:color w:val="auto"/>
          <w:sz w:val="24"/>
          <w:highlight w:val="none"/>
        </w:rPr>
      </w:pPr>
      <w:r>
        <w:rPr>
          <w:rFonts w:hint="eastAsia" w:ascii="宋体" w:hAnsi="宋体"/>
          <w:bCs/>
          <w:color w:val="auto"/>
          <w:sz w:val="24"/>
          <w:highlight w:val="none"/>
        </w:rPr>
        <w:t>必要的法律依据；</w:t>
      </w:r>
    </w:p>
    <w:p>
      <w:pPr>
        <w:pStyle w:val="24"/>
        <w:widowControl/>
        <w:numPr>
          <w:ilvl w:val="1"/>
          <w:numId w:val="67"/>
        </w:numPr>
        <w:tabs>
          <w:tab w:val="left" w:pos="709"/>
        </w:tabs>
        <w:snapToGrid w:val="0"/>
        <w:spacing w:line="360" w:lineRule="auto"/>
        <w:ind w:left="426" w:hanging="283" w:firstLineChars="0"/>
        <w:jc w:val="left"/>
        <w:rPr>
          <w:rFonts w:ascii="宋体" w:hAnsi="宋体"/>
          <w:bCs/>
          <w:color w:val="auto"/>
          <w:sz w:val="24"/>
          <w:highlight w:val="none"/>
        </w:rPr>
      </w:pPr>
      <w:r>
        <w:rPr>
          <w:rFonts w:hint="eastAsia" w:ascii="宋体" w:hAnsi="宋体"/>
          <w:bCs/>
          <w:color w:val="auto"/>
          <w:sz w:val="24"/>
          <w:highlight w:val="none"/>
        </w:rPr>
        <w:t>提出质疑的日期。</w:t>
      </w:r>
    </w:p>
    <w:p>
      <w:pPr>
        <w:numPr>
          <w:ilvl w:val="2"/>
          <w:numId w:val="74"/>
        </w:numPr>
        <w:autoSpaceDE w:val="0"/>
        <w:autoSpaceDN w:val="0"/>
        <w:snapToGrid w:val="0"/>
        <w:spacing w:line="360" w:lineRule="auto"/>
        <w:ind w:left="566" w:hanging="566" w:hangingChars="236"/>
        <w:rPr>
          <w:rFonts w:ascii="宋体" w:hAnsi="宋体" w:cs="黑体"/>
          <w:bCs/>
          <w:color w:val="auto"/>
          <w:sz w:val="24"/>
          <w:highlight w:val="none"/>
        </w:rPr>
      </w:pPr>
      <w:r>
        <w:rPr>
          <w:rFonts w:hint="eastAsia" w:ascii="宋体" w:hAnsi="宋体" w:cs="黑体"/>
          <w:bCs/>
          <w:color w:val="auto"/>
          <w:sz w:val="24"/>
          <w:highlight w:val="none"/>
        </w:rPr>
        <w:t>供应商为自然人的，质疑函应当由本人签字；供应商为法人或者其他组织的，应当由法定代表人、主要负责人或授权代表签字或者盖个人名章，并加盖公章。供应商递交质疑函时非法定代表人亲自办理的，应提供法定代表人授权委托书和授权代表身份证复印件，其授权委托书应载明授权代表的姓名或者名称、代理事项、具体权限、期限和相关事项。</w:t>
      </w:r>
    </w:p>
    <w:p>
      <w:pPr>
        <w:numPr>
          <w:ilvl w:val="1"/>
          <w:numId w:val="74"/>
        </w:numPr>
        <w:autoSpaceDE w:val="0"/>
        <w:autoSpaceDN w:val="0"/>
        <w:snapToGrid w:val="0"/>
        <w:spacing w:line="360" w:lineRule="auto"/>
        <w:ind w:left="566" w:hanging="566" w:hangingChars="236"/>
        <w:rPr>
          <w:rFonts w:ascii="宋体" w:hAnsi="宋体" w:cs="黑体"/>
          <w:bCs/>
          <w:color w:val="auto"/>
          <w:sz w:val="24"/>
          <w:highlight w:val="none"/>
        </w:rPr>
      </w:pPr>
      <w:r>
        <w:rPr>
          <w:rFonts w:hint="eastAsia" w:ascii="宋体" w:hAnsi="宋体" w:cs="黑体"/>
          <w:bCs/>
          <w:color w:val="auto"/>
          <w:sz w:val="24"/>
          <w:highlight w:val="none"/>
        </w:rPr>
        <w:t>供应商捏造事实、提供虚假材料或者以非法手段取得证明材料不能作为质疑的证明材料。</w:t>
      </w:r>
    </w:p>
    <w:p>
      <w:pPr>
        <w:numPr>
          <w:ilvl w:val="1"/>
          <w:numId w:val="74"/>
        </w:numPr>
        <w:autoSpaceDE w:val="0"/>
        <w:autoSpaceDN w:val="0"/>
        <w:snapToGrid w:val="0"/>
        <w:spacing w:line="360" w:lineRule="auto"/>
        <w:ind w:left="566" w:hanging="566" w:hangingChars="236"/>
        <w:rPr>
          <w:rFonts w:ascii="宋体" w:hAnsi="宋体" w:cs="黑体"/>
          <w:bCs/>
          <w:color w:val="auto"/>
          <w:sz w:val="24"/>
          <w:highlight w:val="none"/>
        </w:rPr>
      </w:pPr>
      <w:r>
        <w:rPr>
          <w:rFonts w:hint="eastAsia" w:ascii="宋体" w:hAnsi="宋体" w:cs="宋体"/>
          <w:color w:val="auto"/>
          <w:sz w:val="24"/>
          <w:highlight w:val="none"/>
          <w:lang w:eastAsia="zh-TW"/>
        </w:rPr>
        <w:t>采购人或者采购代理机构</w:t>
      </w:r>
      <w:r>
        <w:rPr>
          <w:rFonts w:hint="eastAsia" w:ascii="宋体" w:hAnsi="宋体"/>
          <w:color w:val="auto"/>
          <w:sz w:val="24"/>
          <w:highlight w:val="none"/>
        </w:rPr>
        <w:t>在收到投标人的书面质疑后7个工作日内作出答复，并以书面形式通知质疑供应商和其他有关供应商，但答复内容不涉及商业秘密。质疑供应商须提供相关证明材料，包括但不限于权益受损害的情况说明及受损害的原因、证据内容等，并对质疑内容的真实性承担责任。</w:t>
      </w:r>
    </w:p>
    <w:p>
      <w:pPr>
        <w:numPr>
          <w:ilvl w:val="1"/>
          <w:numId w:val="74"/>
        </w:numPr>
        <w:autoSpaceDE w:val="0"/>
        <w:autoSpaceDN w:val="0"/>
        <w:snapToGrid w:val="0"/>
        <w:spacing w:line="360" w:lineRule="auto"/>
        <w:ind w:left="566" w:hanging="566" w:hangingChars="236"/>
        <w:rPr>
          <w:rFonts w:ascii="宋体" w:hAnsi="宋体" w:cs="黑体"/>
          <w:bCs/>
          <w:color w:val="auto"/>
          <w:sz w:val="24"/>
          <w:highlight w:val="none"/>
        </w:rPr>
      </w:pPr>
      <w:r>
        <w:rPr>
          <w:rFonts w:hint="eastAsia" w:hAnsi="宋体"/>
          <w:snapToGrid w:val="0"/>
          <w:color w:val="auto"/>
          <w:sz w:val="24"/>
          <w:highlight w:val="none"/>
        </w:rPr>
        <w:t>采购人或采购代理机构接收以书面形式递交的质疑函，接收质疑函的联系人、联系方式和通讯地址详见</w:t>
      </w:r>
      <w:r>
        <w:rPr>
          <w:rFonts w:hint="eastAsia" w:hAnsi="宋体"/>
          <w:b/>
          <w:snapToGrid w:val="0"/>
          <w:color w:val="auto"/>
          <w:sz w:val="24"/>
          <w:highlight w:val="none"/>
        </w:rPr>
        <w:t>投标人须知前附表</w:t>
      </w:r>
      <w:r>
        <w:rPr>
          <w:rFonts w:hint="eastAsia" w:ascii="宋体" w:hAnsi="宋体"/>
          <w:color w:val="auto"/>
          <w:sz w:val="24"/>
          <w:highlight w:val="none"/>
        </w:rPr>
        <w:t>。</w:t>
      </w:r>
    </w:p>
    <w:p>
      <w:pPr>
        <w:numPr>
          <w:ilvl w:val="1"/>
          <w:numId w:val="74"/>
        </w:numPr>
        <w:autoSpaceDE w:val="0"/>
        <w:autoSpaceDN w:val="0"/>
        <w:snapToGrid w:val="0"/>
        <w:spacing w:line="360" w:lineRule="auto"/>
        <w:ind w:left="566" w:hanging="566" w:hangingChars="236"/>
        <w:rPr>
          <w:rFonts w:ascii="宋体" w:hAnsi="宋体" w:cs="黑体"/>
          <w:bCs/>
          <w:color w:val="auto"/>
          <w:sz w:val="24"/>
          <w:highlight w:val="none"/>
        </w:rPr>
      </w:pPr>
      <w:r>
        <w:rPr>
          <w:rFonts w:hint="eastAsia" w:ascii="宋体" w:hAnsi="宋体"/>
          <w:color w:val="auto"/>
          <w:sz w:val="24"/>
          <w:highlight w:val="none"/>
        </w:rPr>
        <w:t>具体询问、质疑函的格式详见本须知附件。</w:t>
      </w:r>
    </w:p>
    <w:p>
      <w:pPr>
        <w:numPr>
          <w:ilvl w:val="0"/>
          <w:numId w:val="74"/>
        </w:numPr>
        <w:autoSpaceDE w:val="0"/>
        <w:autoSpaceDN w:val="0"/>
        <w:snapToGrid w:val="0"/>
        <w:spacing w:line="360" w:lineRule="auto"/>
        <w:ind w:left="487" w:hanging="487" w:hangingChars="202"/>
        <w:outlineLvl w:val="3"/>
        <w:rPr>
          <w:rFonts w:ascii="宋体" w:hAnsi="宋体"/>
          <w:b/>
          <w:bCs/>
          <w:color w:val="auto"/>
          <w:sz w:val="24"/>
          <w:highlight w:val="none"/>
        </w:rPr>
      </w:pPr>
      <w:r>
        <w:rPr>
          <w:rFonts w:hint="eastAsia" w:ascii="宋体" w:hAnsi="宋体"/>
          <w:b/>
          <w:bCs/>
          <w:color w:val="auto"/>
          <w:sz w:val="24"/>
          <w:highlight w:val="none"/>
        </w:rPr>
        <w:t>投诉</w:t>
      </w:r>
    </w:p>
    <w:p>
      <w:pPr>
        <w:numPr>
          <w:ilvl w:val="1"/>
          <w:numId w:val="74"/>
        </w:numPr>
        <w:tabs>
          <w:tab w:val="left" w:pos="709"/>
        </w:tabs>
        <w:autoSpaceDE w:val="0"/>
        <w:autoSpaceDN w:val="0"/>
        <w:snapToGrid w:val="0"/>
        <w:spacing w:line="360" w:lineRule="auto"/>
        <w:ind w:left="566" w:hanging="566" w:hangingChars="236"/>
        <w:rPr>
          <w:rFonts w:ascii="宋体" w:hAnsi="宋体" w:cs="宋体"/>
          <w:color w:val="auto"/>
          <w:szCs w:val="21"/>
          <w:highlight w:val="none"/>
        </w:rPr>
      </w:pPr>
      <w:r>
        <w:rPr>
          <w:rFonts w:hint="eastAsia" w:ascii="宋体" w:hAnsi="宋体"/>
          <w:color w:val="auto"/>
          <w:sz w:val="24"/>
          <w:highlight w:val="none"/>
        </w:rPr>
        <w:t>质疑供应商对</w:t>
      </w:r>
      <w:r>
        <w:rPr>
          <w:rFonts w:hint="eastAsia" w:ascii="宋体" w:hAnsi="宋体" w:cs="宋体"/>
          <w:color w:val="auto"/>
          <w:sz w:val="24"/>
          <w:highlight w:val="none"/>
          <w:lang w:eastAsia="zh-TW"/>
        </w:rPr>
        <w:t>采购人或者采购代理机构</w:t>
      </w:r>
      <w:r>
        <w:rPr>
          <w:rFonts w:hint="eastAsia" w:ascii="宋体" w:hAnsi="宋体"/>
          <w:color w:val="auto"/>
          <w:sz w:val="24"/>
          <w:highlight w:val="none"/>
        </w:rPr>
        <w:t>的质疑答复不满意，或</w:t>
      </w:r>
      <w:r>
        <w:rPr>
          <w:rFonts w:hint="eastAsia" w:ascii="宋体" w:hAnsi="宋体" w:cs="宋体"/>
          <w:color w:val="auto"/>
          <w:sz w:val="24"/>
          <w:highlight w:val="none"/>
          <w:lang w:eastAsia="zh-TW"/>
        </w:rPr>
        <w:t>采购人或者采购代理机构</w:t>
      </w:r>
      <w:r>
        <w:rPr>
          <w:rFonts w:hint="eastAsia" w:ascii="宋体" w:hAnsi="宋体"/>
          <w:color w:val="auto"/>
          <w:sz w:val="24"/>
          <w:highlight w:val="none"/>
        </w:rPr>
        <w:t>未在规定期限内作出答复的，可以在答复期满后十五个工作日内向政府采购监督管理部门提出投诉。</w:t>
      </w:r>
    </w:p>
    <w:p>
      <w:pPr>
        <w:widowControl/>
        <w:jc w:val="left"/>
        <w:rPr>
          <w:rFonts w:ascii="宋体" w:hAnsi="宋体" w:cs="宋体"/>
          <w:color w:val="auto"/>
          <w:szCs w:val="21"/>
          <w:highlight w:val="none"/>
        </w:rPr>
      </w:pPr>
      <w:r>
        <w:rPr>
          <w:rFonts w:ascii="宋体" w:hAnsi="宋体" w:cs="宋体"/>
          <w:color w:val="auto"/>
          <w:szCs w:val="21"/>
          <w:highlight w:val="none"/>
        </w:rPr>
        <w:br w:type="page"/>
      </w:r>
    </w:p>
    <w:p>
      <w:pPr>
        <w:autoSpaceDE w:val="0"/>
        <w:autoSpaceDN w:val="0"/>
        <w:snapToGrid w:val="0"/>
        <w:spacing w:line="360" w:lineRule="auto"/>
        <w:rPr>
          <w:rFonts w:ascii="宋体" w:hAnsi="宋体"/>
          <w:b/>
          <w:color w:val="auto"/>
          <w:sz w:val="24"/>
          <w:highlight w:val="none"/>
        </w:rPr>
      </w:pPr>
      <w:r>
        <w:rPr>
          <w:rFonts w:hint="eastAsia" w:ascii="宋体" w:hAnsi="宋体"/>
          <w:b/>
          <w:bCs/>
          <w:color w:val="auto"/>
          <w:sz w:val="24"/>
          <w:highlight w:val="none"/>
        </w:rPr>
        <w:t>附件：询问函、质疑函格式</w:t>
      </w:r>
    </w:p>
    <w:p>
      <w:pPr>
        <w:snapToGrid w:val="0"/>
        <w:spacing w:line="360" w:lineRule="auto"/>
        <w:rPr>
          <w:rFonts w:ascii="宋体" w:hAnsi="宋体"/>
          <w:b/>
          <w:color w:val="auto"/>
          <w:sz w:val="24"/>
          <w:highlight w:val="none"/>
        </w:rPr>
      </w:pPr>
      <w:r>
        <w:rPr>
          <w:rFonts w:hint="eastAsia" w:ascii="宋体" w:hAnsi="宋体"/>
          <w:b/>
          <w:color w:val="auto"/>
          <w:sz w:val="24"/>
          <w:highlight w:val="none"/>
        </w:rPr>
        <w:t>说明：本部分格式为投标人提交询问函、质疑函时使用，不属于投标文件格式的组成部分。</w:t>
      </w:r>
    </w:p>
    <w:p>
      <w:pPr>
        <w:pStyle w:val="14"/>
        <w:snapToGrid w:val="0"/>
        <w:spacing w:before="0" w:beforeAutospacing="0" w:after="0" w:afterAutospacing="0" w:line="360" w:lineRule="auto"/>
        <w:jc w:val="both"/>
        <w:rPr>
          <w:color w:val="auto"/>
          <w:highlight w:val="none"/>
        </w:rPr>
      </w:pPr>
    </w:p>
    <w:p>
      <w:pPr>
        <w:pStyle w:val="14"/>
        <w:snapToGrid w:val="0"/>
        <w:spacing w:before="0" w:beforeAutospacing="0" w:after="0" w:afterAutospacing="0" w:line="360" w:lineRule="auto"/>
        <w:jc w:val="both"/>
        <w:rPr>
          <w:b/>
          <w:color w:val="auto"/>
          <w:highlight w:val="none"/>
        </w:rPr>
      </w:pPr>
      <w:r>
        <w:rPr>
          <w:rFonts w:hint="eastAsia"/>
          <w:b/>
          <w:color w:val="auto"/>
          <w:highlight w:val="none"/>
        </w:rPr>
        <w:t>1.询问函格式</w:t>
      </w:r>
    </w:p>
    <w:p>
      <w:pPr>
        <w:pStyle w:val="14"/>
        <w:spacing w:before="0" w:beforeAutospacing="0" w:after="0" w:afterAutospacing="0" w:line="360" w:lineRule="auto"/>
        <w:jc w:val="center"/>
        <w:rPr>
          <w:rStyle w:val="19"/>
          <w:color w:val="auto"/>
          <w:highlight w:val="none"/>
        </w:rPr>
      </w:pPr>
      <w:r>
        <w:rPr>
          <w:rStyle w:val="19"/>
          <w:rFonts w:hint="eastAsia"/>
          <w:color w:val="auto"/>
          <w:highlight w:val="none"/>
        </w:rPr>
        <w:t>询问函</w:t>
      </w:r>
    </w:p>
    <w:p>
      <w:pPr>
        <w:widowControl/>
        <w:snapToGrid w:val="0"/>
        <w:spacing w:line="360" w:lineRule="auto"/>
        <w:rPr>
          <w:rFonts w:ascii="宋体" w:hAnsi="宋体"/>
          <w:color w:val="auto"/>
          <w:sz w:val="24"/>
          <w:highlight w:val="none"/>
        </w:rPr>
      </w:pPr>
      <w:r>
        <w:rPr>
          <w:rFonts w:hint="eastAsia" w:ascii="宋体" w:hAnsi="宋体"/>
          <w:color w:val="auto"/>
          <w:sz w:val="24"/>
          <w:highlight w:val="none"/>
          <w:u w:val="single"/>
        </w:rPr>
        <w:t>广东采联采购科技有限公司</w:t>
      </w:r>
      <w:r>
        <w:rPr>
          <w:rFonts w:hint="eastAsia" w:ascii="宋体" w:hAnsi="宋体"/>
          <w:color w:val="auto"/>
          <w:sz w:val="24"/>
          <w:highlight w:val="none"/>
        </w:rPr>
        <w:t>：</w:t>
      </w:r>
    </w:p>
    <w:p>
      <w:pPr>
        <w:widowControl/>
        <w:tabs>
          <w:tab w:val="left" w:pos="6300"/>
        </w:tabs>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我单位已报名并准备参与</w:t>
      </w:r>
      <w:r>
        <w:rPr>
          <w:rFonts w:hint="eastAsia" w:ascii="宋体" w:hAnsi="宋体"/>
          <w:color w:val="auto"/>
          <w:sz w:val="24"/>
          <w:highlight w:val="none"/>
          <w:u w:val="single"/>
        </w:rPr>
        <w:t>2020-2021年食品安全监督抽检项目</w:t>
      </w:r>
      <w:r>
        <w:rPr>
          <w:rFonts w:hint="eastAsia" w:ascii="宋体" w:hAnsi="宋体"/>
          <w:color w:val="auto"/>
          <w:sz w:val="24"/>
          <w:highlight w:val="none"/>
        </w:rPr>
        <w:t>项目（项目采购编号：）的投标（或报价）活动，现有以下几个内容（或条款）存在疑问（或无法理解），特提出询问。</w:t>
      </w:r>
    </w:p>
    <w:p>
      <w:pPr>
        <w:widowControl/>
        <w:tabs>
          <w:tab w:val="center" w:pos="5019"/>
        </w:tabs>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一、_____________________（事项一）</w:t>
      </w:r>
      <w:r>
        <w:rPr>
          <w:rFonts w:ascii="宋体" w:hAnsi="宋体"/>
          <w:color w:val="auto"/>
          <w:sz w:val="24"/>
          <w:highlight w:val="none"/>
        </w:rPr>
        <w:tab/>
      </w:r>
    </w:p>
    <w:p>
      <w:pPr>
        <w:widowControl/>
        <w:tabs>
          <w:tab w:val="left" w:pos="6300"/>
        </w:tabs>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（1）____________________（问题或条款内容）</w:t>
      </w:r>
    </w:p>
    <w:p>
      <w:pPr>
        <w:widowControl/>
        <w:tabs>
          <w:tab w:val="left" w:pos="6300"/>
        </w:tabs>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（2）____________________（说明疑问或无法理解原因）</w:t>
      </w:r>
    </w:p>
    <w:p>
      <w:pPr>
        <w:widowControl/>
        <w:tabs>
          <w:tab w:val="left" w:pos="6300"/>
        </w:tabs>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（3）____________________（建议）</w:t>
      </w:r>
    </w:p>
    <w:p>
      <w:pPr>
        <w:widowControl/>
        <w:tabs>
          <w:tab w:val="left" w:pos="6300"/>
        </w:tabs>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二、_____________________（事项二）</w:t>
      </w:r>
    </w:p>
    <w:p>
      <w:pPr>
        <w:widowControl/>
        <w:tabs>
          <w:tab w:val="left" w:pos="6300"/>
        </w:tabs>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w:t>
      </w:r>
    </w:p>
    <w:p>
      <w:pPr>
        <w:widowControl/>
        <w:tabs>
          <w:tab w:val="left" w:pos="6300"/>
        </w:tabs>
        <w:snapToGrid w:val="0"/>
        <w:spacing w:line="360" w:lineRule="auto"/>
        <w:jc w:val="left"/>
        <w:rPr>
          <w:rFonts w:ascii="宋体" w:hAnsi="宋体"/>
          <w:b/>
          <w:color w:val="auto"/>
          <w:sz w:val="24"/>
          <w:highlight w:val="none"/>
        </w:rPr>
      </w:pPr>
      <w:r>
        <w:rPr>
          <w:rFonts w:hint="eastAsia" w:ascii="宋体" w:hAnsi="宋体"/>
          <w:b/>
          <w:color w:val="auto"/>
          <w:sz w:val="24"/>
          <w:highlight w:val="none"/>
        </w:rPr>
        <w:t>随附相关证明材料如下：（目录）。</w:t>
      </w:r>
    </w:p>
    <w:p>
      <w:pPr>
        <w:widowControl/>
        <w:tabs>
          <w:tab w:val="left" w:pos="6300"/>
        </w:tabs>
        <w:snapToGrid w:val="0"/>
        <w:spacing w:line="360" w:lineRule="auto"/>
        <w:ind w:firstLine="1440" w:firstLineChars="600"/>
        <w:rPr>
          <w:rFonts w:ascii="宋体" w:hAnsi="宋体"/>
          <w:color w:val="auto"/>
          <w:sz w:val="24"/>
          <w:highlight w:val="none"/>
        </w:rPr>
      </w:pPr>
    </w:p>
    <w:p>
      <w:pPr>
        <w:widowControl/>
        <w:tabs>
          <w:tab w:val="left" w:pos="6300"/>
        </w:tabs>
        <w:snapToGrid w:val="0"/>
        <w:spacing w:line="360" w:lineRule="auto"/>
        <w:jc w:val="left"/>
        <w:rPr>
          <w:rFonts w:ascii="宋体" w:hAnsi="宋体"/>
          <w:color w:val="auto"/>
          <w:sz w:val="24"/>
          <w:highlight w:val="none"/>
        </w:rPr>
      </w:pPr>
      <w:r>
        <w:rPr>
          <w:rFonts w:hint="eastAsia" w:ascii="宋体" w:hAnsi="宋体"/>
          <w:color w:val="auto"/>
          <w:sz w:val="24"/>
          <w:highlight w:val="none"/>
        </w:rPr>
        <w:t>询问人（公章）：</w:t>
      </w:r>
    </w:p>
    <w:p>
      <w:pPr>
        <w:widowControl/>
        <w:tabs>
          <w:tab w:val="left" w:pos="6300"/>
        </w:tabs>
        <w:snapToGrid w:val="0"/>
        <w:spacing w:line="360" w:lineRule="auto"/>
        <w:jc w:val="left"/>
        <w:rPr>
          <w:rFonts w:ascii="宋体" w:hAnsi="宋体"/>
          <w:color w:val="auto"/>
          <w:sz w:val="24"/>
          <w:highlight w:val="none"/>
        </w:rPr>
      </w:pPr>
      <w:r>
        <w:rPr>
          <w:rFonts w:hint="eastAsia" w:ascii="宋体" w:hAnsi="宋体"/>
          <w:color w:val="auto"/>
          <w:sz w:val="24"/>
          <w:highlight w:val="none"/>
        </w:rPr>
        <w:t>法定代表人（授权代表）：</w:t>
      </w:r>
    </w:p>
    <w:p>
      <w:pPr>
        <w:tabs>
          <w:tab w:val="left" w:pos="6300"/>
        </w:tabs>
        <w:snapToGrid w:val="0"/>
        <w:spacing w:line="360" w:lineRule="auto"/>
        <w:jc w:val="left"/>
        <w:rPr>
          <w:rFonts w:ascii="宋体" w:hAnsi="宋体"/>
          <w:color w:val="auto"/>
          <w:sz w:val="24"/>
          <w:highlight w:val="none"/>
        </w:rPr>
      </w:pPr>
      <w:r>
        <w:rPr>
          <w:rFonts w:hint="eastAsia" w:ascii="宋体" w:hAnsi="宋体"/>
          <w:color w:val="auto"/>
          <w:sz w:val="24"/>
          <w:highlight w:val="none"/>
        </w:rPr>
        <w:t>地址/邮编：</w:t>
      </w:r>
    </w:p>
    <w:p>
      <w:pPr>
        <w:tabs>
          <w:tab w:val="left" w:pos="6300"/>
        </w:tabs>
        <w:snapToGrid w:val="0"/>
        <w:spacing w:line="360" w:lineRule="auto"/>
        <w:jc w:val="left"/>
        <w:rPr>
          <w:rFonts w:ascii="宋体" w:hAnsi="宋体"/>
          <w:color w:val="auto"/>
          <w:sz w:val="24"/>
          <w:highlight w:val="none"/>
        </w:rPr>
      </w:pPr>
      <w:r>
        <w:rPr>
          <w:rFonts w:hint="eastAsia" w:ascii="宋体" w:hAnsi="宋体"/>
          <w:color w:val="auto"/>
          <w:sz w:val="24"/>
          <w:highlight w:val="none"/>
        </w:rPr>
        <w:t>电话/传真：</w:t>
      </w:r>
    </w:p>
    <w:p>
      <w:pPr>
        <w:tabs>
          <w:tab w:val="left" w:pos="6300"/>
        </w:tabs>
        <w:snapToGrid w:val="0"/>
        <w:spacing w:line="360" w:lineRule="auto"/>
        <w:jc w:val="left"/>
        <w:rPr>
          <w:rFonts w:ascii="宋体" w:hAnsi="宋体"/>
          <w:color w:val="auto"/>
          <w:sz w:val="24"/>
          <w:highlight w:val="none"/>
        </w:rPr>
      </w:pPr>
      <w:r>
        <w:rPr>
          <w:rFonts w:hint="eastAsia" w:ascii="宋体" w:hAnsi="宋体"/>
          <w:bCs/>
          <w:color w:val="auto"/>
          <w:sz w:val="24"/>
          <w:highlight w:val="none"/>
        </w:rPr>
        <w:t>电子邮箱：</w:t>
      </w:r>
    </w:p>
    <w:p>
      <w:pPr>
        <w:wordWrap w:val="0"/>
        <w:spacing w:line="360" w:lineRule="auto"/>
        <w:jc w:val="left"/>
        <w:rPr>
          <w:rFonts w:ascii="宋体" w:hAnsi="宋体"/>
          <w:color w:val="auto"/>
          <w:sz w:val="24"/>
          <w:highlight w:val="none"/>
        </w:rPr>
      </w:pPr>
      <w:r>
        <w:rPr>
          <w:rFonts w:hint="eastAsia" w:ascii="宋体" w:hAnsi="宋体"/>
          <w:color w:val="auto"/>
          <w:sz w:val="24"/>
          <w:highlight w:val="none"/>
        </w:rPr>
        <w:t>日期：  年   月  日</w:t>
      </w:r>
    </w:p>
    <w:p>
      <w:pPr>
        <w:snapToGrid w:val="0"/>
        <w:spacing w:line="360" w:lineRule="auto"/>
        <w:ind w:firstLine="482" w:firstLineChars="201"/>
        <w:rPr>
          <w:rFonts w:ascii="宋体" w:hAnsi="宋体"/>
          <w:color w:val="auto"/>
          <w:sz w:val="24"/>
          <w:highlight w:val="none"/>
        </w:rPr>
      </w:pPr>
    </w:p>
    <w:p>
      <w:pPr>
        <w:pStyle w:val="14"/>
        <w:snapToGrid w:val="0"/>
        <w:spacing w:before="0" w:beforeAutospacing="0" w:after="0" w:afterAutospacing="0" w:line="360" w:lineRule="auto"/>
        <w:jc w:val="both"/>
        <w:rPr>
          <w:color w:val="auto"/>
          <w:highlight w:val="none"/>
        </w:rPr>
      </w:pPr>
      <w:r>
        <w:rPr>
          <w:color w:val="auto"/>
          <w:highlight w:val="none"/>
        </w:rPr>
        <w:br w:type="page"/>
      </w:r>
      <w:r>
        <w:rPr>
          <w:rFonts w:hint="eastAsia"/>
          <w:b/>
          <w:color w:val="auto"/>
          <w:highlight w:val="none"/>
        </w:rPr>
        <w:t>2.质疑函格式</w:t>
      </w:r>
    </w:p>
    <w:p>
      <w:pPr>
        <w:jc w:val="center"/>
        <w:rPr>
          <w:rFonts w:ascii="宋体" w:hAnsi="宋体" w:cs="仿宋"/>
          <w:b/>
          <w:bCs/>
          <w:color w:val="auto"/>
          <w:sz w:val="24"/>
          <w:highlight w:val="none"/>
        </w:rPr>
      </w:pPr>
      <w:r>
        <w:rPr>
          <w:rFonts w:hint="eastAsia" w:ascii="宋体" w:hAnsi="宋体" w:cs="仿宋"/>
          <w:b/>
          <w:bCs/>
          <w:color w:val="auto"/>
          <w:sz w:val="24"/>
          <w:highlight w:val="none"/>
        </w:rPr>
        <w:t>质疑函范本</w:t>
      </w:r>
    </w:p>
    <w:p>
      <w:pPr>
        <w:snapToGrid w:val="0"/>
        <w:spacing w:line="360" w:lineRule="auto"/>
        <w:rPr>
          <w:rFonts w:ascii="宋体" w:hAnsi="宋体" w:cs="仿宋"/>
          <w:b/>
          <w:bCs/>
          <w:color w:val="auto"/>
          <w:sz w:val="24"/>
          <w:highlight w:val="none"/>
        </w:rPr>
      </w:pPr>
      <w:r>
        <w:rPr>
          <w:rFonts w:hint="eastAsia" w:ascii="宋体" w:hAnsi="宋体" w:cs="仿宋"/>
          <w:b/>
          <w:bCs/>
          <w:color w:val="auto"/>
          <w:sz w:val="24"/>
          <w:highlight w:val="none"/>
        </w:rPr>
        <w:t>一、质疑供应商基本信息</w:t>
      </w:r>
    </w:p>
    <w:p>
      <w:pPr>
        <w:snapToGrid w:val="0"/>
        <w:spacing w:line="360" w:lineRule="auto"/>
        <w:rPr>
          <w:rFonts w:ascii="宋体" w:hAnsi="宋体" w:cs="仿宋"/>
          <w:color w:val="auto"/>
          <w:sz w:val="24"/>
          <w:highlight w:val="none"/>
          <w:u w:val="dotted"/>
        </w:rPr>
      </w:pPr>
      <w:r>
        <w:rPr>
          <w:rFonts w:hint="eastAsia" w:ascii="宋体" w:hAnsi="宋体" w:cs="仿宋"/>
          <w:color w:val="auto"/>
          <w:sz w:val="24"/>
          <w:highlight w:val="none"/>
        </w:rPr>
        <w:t>质疑供应商：</w:t>
      </w:r>
    </w:p>
    <w:p>
      <w:pPr>
        <w:snapToGrid w:val="0"/>
        <w:spacing w:line="360" w:lineRule="auto"/>
        <w:rPr>
          <w:rFonts w:ascii="宋体" w:hAnsi="宋体" w:cs="仿宋"/>
          <w:color w:val="auto"/>
          <w:sz w:val="24"/>
          <w:highlight w:val="none"/>
        </w:rPr>
      </w:pPr>
      <w:r>
        <w:rPr>
          <w:rFonts w:hint="eastAsia" w:ascii="宋体" w:hAnsi="宋体" w:cs="仿宋"/>
          <w:color w:val="auto"/>
          <w:sz w:val="24"/>
          <w:highlight w:val="none"/>
        </w:rPr>
        <w:t>地址：邮编：</w:t>
      </w:r>
    </w:p>
    <w:p>
      <w:pPr>
        <w:snapToGrid w:val="0"/>
        <w:spacing w:line="360" w:lineRule="auto"/>
        <w:rPr>
          <w:rFonts w:ascii="宋体" w:hAnsi="宋体" w:cs="仿宋"/>
          <w:color w:val="auto"/>
          <w:sz w:val="24"/>
          <w:highlight w:val="none"/>
        </w:rPr>
      </w:pPr>
      <w:r>
        <w:rPr>
          <w:rFonts w:hint="eastAsia" w:ascii="宋体" w:hAnsi="宋体" w:cs="仿宋"/>
          <w:color w:val="auto"/>
          <w:sz w:val="24"/>
          <w:highlight w:val="none"/>
        </w:rPr>
        <w:t>联系人：联系电话：</w:t>
      </w:r>
    </w:p>
    <w:p>
      <w:pPr>
        <w:snapToGrid w:val="0"/>
        <w:spacing w:line="360" w:lineRule="auto"/>
        <w:rPr>
          <w:rFonts w:ascii="宋体" w:hAnsi="宋体" w:cs="仿宋"/>
          <w:color w:val="auto"/>
          <w:sz w:val="24"/>
          <w:highlight w:val="none"/>
          <w:u w:val="dotted"/>
        </w:rPr>
      </w:pPr>
      <w:r>
        <w:rPr>
          <w:rFonts w:hint="eastAsia" w:ascii="宋体" w:hAnsi="宋体" w:cs="仿宋"/>
          <w:color w:val="auto"/>
          <w:sz w:val="24"/>
          <w:highlight w:val="none"/>
        </w:rPr>
        <w:t>授权代表：</w:t>
      </w:r>
    </w:p>
    <w:p>
      <w:pPr>
        <w:snapToGrid w:val="0"/>
        <w:spacing w:line="360" w:lineRule="auto"/>
        <w:rPr>
          <w:rFonts w:ascii="宋体" w:hAnsi="宋体" w:cs="仿宋"/>
          <w:color w:val="auto"/>
          <w:sz w:val="24"/>
          <w:highlight w:val="none"/>
        </w:rPr>
      </w:pPr>
      <w:r>
        <w:rPr>
          <w:rFonts w:hint="eastAsia" w:ascii="宋体" w:hAnsi="宋体" w:cs="仿宋"/>
          <w:color w:val="auto"/>
          <w:sz w:val="24"/>
          <w:highlight w:val="none"/>
        </w:rPr>
        <w:t>联系电话：</w:t>
      </w:r>
    </w:p>
    <w:p>
      <w:pPr>
        <w:snapToGrid w:val="0"/>
        <w:spacing w:line="360" w:lineRule="auto"/>
        <w:rPr>
          <w:rFonts w:ascii="宋体" w:hAnsi="宋体" w:cs="仿宋"/>
          <w:color w:val="auto"/>
          <w:sz w:val="24"/>
          <w:highlight w:val="none"/>
          <w:u w:val="single"/>
        </w:rPr>
      </w:pPr>
      <w:r>
        <w:rPr>
          <w:rFonts w:hint="eastAsia" w:ascii="宋体" w:hAnsi="宋体" w:cs="仿宋"/>
          <w:color w:val="auto"/>
          <w:sz w:val="24"/>
          <w:highlight w:val="none"/>
        </w:rPr>
        <w:t>地址：邮编：</w:t>
      </w:r>
    </w:p>
    <w:p>
      <w:pPr>
        <w:snapToGrid w:val="0"/>
        <w:spacing w:line="360" w:lineRule="auto"/>
        <w:rPr>
          <w:rFonts w:ascii="宋体" w:hAnsi="宋体" w:cs="仿宋"/>
          <w:color w:val="auto"/>
          <w:sz w:val="24"/>
          <w:highlight w:val="none"/>
        </w:rPr>
      </w:pPr>
      <w:r>
        <w:rPr>
          <w:rFonts w:hint="eastAsia" w:ascii="宋体" w:hAnsi="宋体" w:cs="仿宋"/>
          <w:bCs/>
          <w:color w:val="auto"/>
          <w:sz w:val="24"/>
          <w:highlight w:val="none"/>
        </w:rPr>
        <w:t>电子邮箱：</w:t>
      </w:r>
    </w:p>
    <w:p>
      <w:pPr>
        <w:snapToGrid w:val="0"/>
        <w:spacing w:line="360" w:lineRule="auto"/>
        <w:rPr>
          <w:rFonts w:ascii="宋体" w:hAnsi="宋体" w:cs="仿宋"/>
          <w:b/>
          <w:bCs/>
          <w:color w:val="auto"/>
          <w:sz w:val="24"/>
          <w:highlight w:val="none"/>
        </w:rPr>
      </w:pPr>
      <w:r>
        <w:rPr>
          <w:rFonts w:hint="eastAsia" w:ascii="宋体" w:hAnsi="宋体" w:cs="仿宋"/>
          <w:b/>
          <w:bCs/>
          <w:color w:val="auto"/>
          <w:sz w:val="24"/>
          <w:highlight w:val="none"/>
        </w:rPr>
        <w:t>二、质疑项目基本情况</w:t>
      </w:r>
    </w:p>
    <w:p>
      <w:pPr>
        <w:snapToGrid w:val="0"/>
        <w:spacing w:line="360" w:lineRule="auto"/>
        <w:rPr>
          <w:rFonts w:ascii="宋体" w:hAnsi="宋体" w:cs="仿宋"/>
          <w:color w:val="auto"/>
          <w:sz w:val="24"/>
          <w:highlight w:val="none"/>
        </w:rPr>
      </w:pPr>
      <w:r>
        <w:rPr>
          <w:rFonts w:hint="eastAsia" w:ascii="宋体" w:hAnsi="宋体" w:cs="仿宋"/>
          <w:color w:val="auto"/>
          <w:sz w:val="24"/>
          <w:highlight w:val="none"/>
        </w:rPr>
        <w:t>质疑项目的名称：</w:t>
      </w:r>
    </w:p>
    <w:p>
      <w:pPr>
        <w:snapToGrid w:val="0"/>
        <w:spacing w:line="360" w:lineRule="auto"/>
        <w:rPr>
          <w:rFonts w:ascii="宋体" w:hAnsi="宋体" w:cs="仿宋"/>
          <w:color w:val="auto"/>
          <w:sz w:val="24"/>
          <w:highlight w:val="none"/>
        </w:rPr>
      </w:pPr>
      <w:r>
        <w:rPr>
          <w:rFonts w:hint="eastAsia" w:ascii="宋体" w:hAnsi="宋体" w:cs="仿宋"/>
          <w:color w:val="auto"/>
          <w:sz w:val="24"/>
          <w:highlight w:val="none"/>
        </w:rPr>
        <w:t>质疑项目的编号：包号：</w:t>
      </w:r>
    </w:p>
    <w:p>
      <w:pPr>
        <w:snapToGrid w:val="0"/>
        <w:spacing w:line="360" w:lineRule="auto"/>
        <w:rPr>
          <w:rFonts w:ascii="宋体" w:hAnsi="宋体" w:cs="仿宋"/>
          <w:color w:val="auto"/>
          <w:sz w:val="24"/>
          <w:highlight w:val="none"/>
          <w:u w:val="single"/>
        </w:rPr>
      </w:pPr>
      <w:r>
        <w:rPr>
          <w:rFonts w:hint="eastAsia" w:ascii="宋体" w:hAnsi="宋体" w:cs="仿宋"/>
          <w:color w:val="auto"/>
          <w:sz w:val="24"/>
          <w:highlight w:val="none"/>
        </w:rPr>
        <w:t>采购人名称：</w:t>
      </w:r>
    </w:p>
    <w:p>
      <w:pPr>
        <w:snapToGrid w:val="0"/>
        <w:spacing w:line="360" w:lineRule="auto"/>
        <w:rPr>
          <w:rFonts w:ascii="宋体" w:hAnsi="宋体" w:cs="仿宋"/>
          <w:color w:val="auto"/>
          <w:sz w:val="24"/>
          <w:highlight w:val="none"/>
          <w:u w:val="single"/>
        </w:rPr>
      </w:pPr>
      <w:r>
        <w:rPr>
          <w:rFonts w:hint="eastAsia" w:ascii="宋体" w:hAnsi="宋体" w:cs="仿宋"/>
          <w:color w:val="auto"/>
          <w:sz w:val="24"/>
          <w:highlight w:val="none"/>
        </w:rPr>
        <w:t>采购文件获取日期：</w:t>
      </w:r>
    </w:p>
    <w:p>
      <w:pPr>
        <w:snapToGrid w:val="0"/>
        <w:spacing w:line="360" w:lineRule="auto"/>
        <w:rPr>
          <w:rFonts w:ascii="宋体" w:hAnsi="宋体" w:cs="仿宋"/>
          <w:b/>
          <w:bCs/>
          <w:color w:val="auto"/>
          <w:sz w:val="24"/>
          <w:highlight w:val="none"/>
        </w:rPr>
      </w:pPr>
      <w:r>
        <w:rPr>
          <w:rFonts w:hint="eastAsia" w:ascii="宋体" w:hAnsi="宋体" w:cs="仿宋"/>
          <w:b/>
          <w:bCs/>
          <w:color w:val="auto"/>
          <w:sz w:val="24"/>
          <w:highlight w:val="none"/>
        </w:rPr>
        <w:t>三、质疑事项具体内容</w:t>
      </w:r>
    </w:p>
    <w:p>
      <w:pPr>
        <w:snapToGrid w:val="0"/>
        <w:spacing w:line="360" w:lineRule="auto"/>
        <w:rPr>
          <w:rFonts w:ascii="宋体" w:hAnsi="宋体" w:cs="仿宋"/>
          <w:color w:val="auto"/>
          <w:sz w:val="24"/>
          <w:highlight w:val="none"/>
          <w:u w:val="single"/>
        </w:rPr>
      </w:pPr>
      <w:r>
        <w:rPr>
          <w:rFonts w:hint="eastAsia" w:ascii="宋体" w:hAnsi="宋体" w:cs="仿宋"/>
          <w:color w:val="auto"/>
          <w:sz w:val="24"/>
          <w:highlight w:val="none"/>
        </w:rPr>
        <w:t>质疑事项1：</w:t>
      </w:r>
    </w:p>
    <w:p>
      <w:pPr>
        <w:snapToGrid w:val="0"/>
        <w:spacing w:line="360" w:lineRule="auto"/>
        <w:rPr>
          <w:rFonts w:ascii="宋体" w:hAnsi="宋体" w:cs="仿宋"/>
          <w:color w:val="auto"/>
          <w:sz w:val="24"/>
          <w:highlight w:val="none"/>
          <w:u w:val="single"/>
        </w:rPr>
      </w:pPr>
      <w:r>
        <w:rPr>
          <w:rFonts w:hint="eastAsia" w:ascii="宋体" w:hAnsi="宋体" w:cs="仿宋"/>
          <w:color w:val="auto"/>
          <w:sz w:val="24"/>
          <w:highlight w:val="none"/>
        </w:rPr>
        <w:t>事实依据：</w:t>
      </w:r>
    </w:p>
    <w:p>
      <w:pPr>
        <w:snapToGrid w:val="0"/>
        <w:spacing w:line="360" w:lineRule="auto"/>
        <w:rPr>
          <w:rFonts w:ascii="宋体" w:hAnsi="宋体" w:cs="仿宋"/>
          <w:color w:val="auto"/>
          <w:sz w:val="24"/>
          <w:highlight w:val="none"/>
          <w:u w:val="single"/>
        </w:rPr>
      </w:pPr>
    </w:p>
    <w:p>
      <w:pPr>
        <w:snapToGrid w:val="0"/>
        <w:spacing w:line="360" w:lineRule="auto"/>
        <w:rPr>
          <w:rFonts w:ascii="宋体" w:hAnsi="宋体" w:cs="仿宋"/>
          <w:color w:val="auto"/>
          <w:sz w:val="24"/>
          <w:highlight w:val="none"/>
          <w:u w:val="single"/>
        </w:rPr>
      </w:pPr>
      <w:r>
        <w:rPr>
          <w:rFonts w:hint="eastAsia" w:ascii="宋体" w:hAnsi="宋体" w:cs="仿宋"/>
          <w:color w:val="auto"/>
          <w:sz w:val="24"/>
          <w:highlight w:val="none"/>
        </w:rPr>
        <w:t>法律依据：</w:t>
      </w:r>
    </w:p>
    <w:p>
      <w:pPr>
        <w:snapToGrid w:val="0"/>
        <w:spacing w:line="360" w:lineRule="auto"/>
        <w:rPr>
          <w:rFonts w:ascii="宋体" w:hAnsi="宋体" w:cs="仿宋"/>
          <w:color w:val="auto"/>
          <w:sz w:val="24"/>
          <w:highlight w:val="none"/>
          <w:u w:val="single"/>
        </w:rPr>
      </w:pPr>
    </w:p>
    <w:p>
      <w:pPr>
        <w:snapToGrid w:val="0"/>
        <w:spacing w:line="360" w:lineRule="auto"/>
        <w:rPr>
          <w:rFonts w:ascii="宋体" w:hAnsi="宋体" w:cs="仿宋"/>
          <w:color w:val="auto"/>
          <w:sz w:val="24"/>
          <w:highlight w:val="none"/>
          <w:u w:val="dotted"/>
        </w:rPr>
      </w:pPr>
      <w:r>
        <w:rPr>
          <w:rFonts w:hint="eastAsia" w:ascii="宋体" w:hAnsi="宋体" w:cs="仿宋"/>
          <w:color w:val="auto"/>
          <w:sz w:val="24"/>
          <w:highlight w:val="none"/>
        </w:rPr>
        <w:t>质疑事项2</w:t>
      </w:r>
    </w:p>
    <w:p>
      <w:pPr>
        <w:snapToGrid w:val="0"/>
        <w:spacing w:line="360" w:lineRule="auto"/>
        <w:rPr>
          <w:rFonts w:ascii="宋体" w:hAnsi="宋体" w:cs="仿宋"/>
          <w:color w:val="auto"/>
          <w:sz w:val="24"/>
          <w:highlight w:val="none"/>
        </w:rPr>
      </w:pPr>
      <w:r>
        <w:rPr>
          <w:rFonts w:hint="eastAsia" w:ascii="宋体" w:hAnsi="宋体" w:cs="仿宋"/>
          <w:color w:val="auto"/>
          <w:sz w:val="24"/>
          <w:highlight w:val="none"/>
        </w:rPr>
        <w:t>……</w:t>
      </w:r>
    </w:p>
    <w:p>
      <w:pPr>
        <w:snapToGrid w:val="0"/>
        <w:spacing w:line="360" w:lineRule="auto"/>
        <w:rPr>
          <w:rFonts w:ascii="宋体" w:hAnsi="宋体" w:cs="仿宋"/>
          <w:bCs/>
          <w:color w:val="auto"/>
          <w:sz w:val="24"/>
          <w:highlight w:val="none"/>
        </w:rPr>
      </w:pPr>
      <w:r>
        <w:rPr>
          <w:rFonts w:hint="eastAsia" w:ascii="宋体" w:hAnsi="宋体" w:cs="仿宋"/>
          <w:bCs/>
          <w:color w:val="auto"/>
          <w:sz w:val="24"/>
          <w:highlight w:val="none"/>
        </w:rPr>
        <w:t>四、与质疑事项相关的质疑请求</w:t>
      </w:r>
    </w:p>
    <w:p>
      <w:pPr>
        <w:snapToGrid w:val="0"/>
        <w:spacing w:line="360" w:lineRule="auto"/>
        <w:rPr>
          <w:rFonts w:ascii="宋体" w:hAnsi="宋体" w:cs="仿宋"/>
          <w:color w:val="auto"/>
          <w:sz w:val="24"/>
          <w:highlight w:val="none"/>
          <w:u w:val="dotted"/>
        </w:rPr>
      </w:pPr>
      <w:r>
        <w:rPr>
          <w:rFonts w:hint="eastAsia" w:ascii="宋体" w:hAnsi="宋体" w:cs="仿宋"/>
          <w:color w:val="auto"/>
          <w:sz w:val="24"/>
          <w:highlight w:val="none"/>
        </w:rPr>
        <w:t>请求：</w:t>
      </w:r>
    </w:p>
    <w:p>
      <w:pPr>
        <w:snapToGrid w:val="0"/>
        <w:spacing w:line="360" w:lineRule="auto"/>
        <w:rPr>
          <w:rFonts w:ascii="宋体" w:hAnsi="宋体"/>
          <w:color w:val="auto"/>
          <w:sz w:val="24"/>
          <w:highlight w:val="none"/>
        </w:rPr>
      </w:pPr>
    </w:p>
    <w:p>
      <w:pPr>
        <w:widowControl/>
        <w:tabs>
          <w:tab w:val="left" w:pos="6300"/>
        </w:tabs>
        <w:snapToGrid w:val="0"/>
        <w:spacing w:line="360" w:lineRule="auto"/>
        <w:jc w:val="left"/>
        <w:rPr>
          <w:rFonts w:ascii="宋体" w:hAnsi="宋体"/>
          <w:color w:val="auto"/>
          <w:sz w:val="24"/>
          <w:highlight w:val="none"/>
        </w:rPr>
      </w:pPr>
      <w:r>
        <w:rPr>
          <w:rFonts w:hint="eastAsia" w:ascii="宋体" w:hAnsi="宋体"/>
          <w:color w:val="auto"/>
          <w:sz w:val="24"/>
          <w:highlight w:val="none"/>
        </w:rPr>
        <w:t>供应商（盖章）：</w:t>
      </w:r>
    </w:p>
    <w:p>
      <w:pPr>
        <w:widowControl/>
        <w:tabs>
          <w:tab w:val="left" w:pos="6300"/>
        </w:tabs>
        <w:snapToGrid w:val="0"/>
        <w:spacing w:line="360" w:lineRule="auto"/>
        <w:jc w:val="left"/>
        <w:rPr>
          <w:rFonts w:ascii="宋体" w:hAnsi="宋体"/>
          <w:color w:val="auto"/>
          <w:sz w:val="24"/>
          <w:highlight w:val="none"/>
        </w:rPr>
      </w:pPr>
      <w:r>
        <w:rPr>
          <w:rFonts w:hint="eastAsia" w:ascii="宋体" w:hAnsi="宋体"/>
          <w:color w:val="auto"/>
          <w:sz w:val="24"/>
          <w:highlight w:val="none"/>
        </w:rPr>
        <w:t>法定代表人（授权代表）：</w:t>
      </w:r>
    </w:p>
    <w:p>
      <w:pPr>
        <w:tabs>
          <w:tab w:val="left" w:pos="6300"/>
        </w:tabs>
        <w:snapToGrid w:val="0"/>
        <w:spacing w:line="360" w:lineRule="auto"/>
        <w:jc w:val="left"/>
        <w:rPr>
          <w:rFonts w:ascii="宋体" w:hAnsi="宋体"/>
          <w:color w:val="auto"/>
          <w:sz w:val="24"/>
          <w:highlight w:val="none"/>
        </w:rPr>
      </w:pPr>
      <w:r>
        <w:rPr>
          <w:rFonts w:hint="eastAsia" w:ascii="宋体" w:hAnsi="宋体"/>
          <w:color w:val="auto"/>
          <w:sz w:val="24"/>
          <w:highlight w:val="none"/>
        </w:rPr>
        <w:t>地址/邮编：</w:t>
      </w:r>
    </w:p>
    <w:p>
      <w:pPr>
        <w:tabs>
          <w:tab w:val="left" w:pos="6300"/>
        </w:tabs>
        <w:snapToGrid w:val="0"/>
        <w:spacing w:line="360" w:lineRule="auto"/>
        <w:jc w:val="left"/>
        <w:rPr>
          <w:rFonts w:ascii="宋体" w:hAnsi="宋体"/>
          <w:color w:val="auto"/>
          <w:sz w:val="24"/>
          <w:highlight w:val="none"/>
        </w:rPr>
      </w:pPr>
      <w:r>
        <w:rPr>
          <w:rFonts w:hint="eastAsia" w:ascii="宋体" w:hAnsi="宋体"/>
          <w:color w:val="auto"/>
          <w:sz w:val="24"/>
          <w:highlight w:val="none"/>
        </w:rPr>
        <w:t>电话/传真：</w:t>
      </w:r>
    </w:p>
    <w:p>
      <w:pPr>
        <w:spacing w:line="360" w:lineRule="auto"/>
        <w:jc w:val="left"/>
        <w:rPr>
          <w:rFonts w:ascii="宋体" w:hAnsi="宋体"/>
          <w:color w:val="auto"/>
          <w:sz w:val="24"/>
          <w:highlight w:val="none"/>
        </w:rPr>
      </w:pPr>
      <w:r>
        <w:rPr>
          <w:rFonts w:hint="eastAsia" w:ascii="宋体" w:hAnsi="宋体"/>
          <w:color w:val="auto"/>
          <w:sz w:val="24"/>
          <w:highlight w:val="none"/>
        </w:rPr>
        <w:t>日期：  年   月  日</w:t>
      </w:r>
    </w:p>
    <w:p>
      <w:pPr>
        <w:snapToGrid w:val="0"/>
        <w:spacing w:line="360" w:lineRule="auto"/>
        <w:rPr>
          <w:rFonts w:ascii="宋体" w:hAnsi="宋体" w:cs="仿宋"/>
          <w:b/>
          <w:color w:val="auto"/>
          <w:sz w:val="24"/>
          <w:highlight w:val="none"/>
        </w:rPr>
      </w:pPr>
      <w:r>
        <w:rPr>
          <w:rFonts w:hint="eastAsia" w:ascii="宋体" w:hAnsi="宋体"/>
          <w:b/>
          <w:color w:val="auto"/>
          <w:sz w:val="24"/>
          <w:highlight w:val="none"/>
        </w:rPr>
        <w:t>随附相关证明材料如下</w:t>
      </w:r>
      <w:r>
        <w:rPr>
          <w:rFonts w:hint="eastAsia" w:ascii="宋体" w:hAnsi="宋体" w:cs="仿宋"/>
          <w:b/>
          <w:color w:val="auto"/>
          <w:sz w:val="24"/>
          <w:highlight w:val="none"/>
        </w:rPr>
        <w:t>：</w:t>
      </w:r>
    </w:p>
    <w:tbl>
      <w:tblPr>
        <w:tblStyle w:val="16"/>
        <w:tblW w:w="900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1747"/>
        <w:gridCol w:w="2761"/>
        <w:gridCol w:w="2247"/>
        <w:gridCol w:w="224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27" w:hRule="atLeast"/>
        </w:trPr>
        <w:tc>
          <w:tcPr>
            <w:tcW w:w="1747" w:type="dxa"/>
            <w:shd w:val="clear" w:color="auto" w:fill="auto"/>
            <w:tcMar>
              <w:top w:w="72" w:type="dxa"/>
              <w:left w:w="144" w:type="dxa"/>
              <w:bottom w:w="72" w:type="dxa"/>
              <w:right w:w="144" w:type="dxa"/>
            </w:tcMar>
            <w:vAlign w:val="center"/>
          </w:tcPr>
          <w:p>
            <w:pPr>
              <w:snapToGrid w:val="0"/>
              <w:spacing w:line="360" w:lineRule="auto"/>
              <w:jc w:val="center"/>
              <w:rPr>
                <w:rFonts w:ascii="宋体" w:hAnsi="宋体" w:cs="仿宋"/>
                <w:b/>
                <w:color w:val="auto"/>
                <w:sz w:val="24"/>
                <w:highlight w:val="none"/>
              </w:rPr>
            </w:pPr>
            <w:r>
              <w:rPr>
                <w:rFonts w:hint="eastAsia" w:ascii="宋体" w:hAnsi="宋体" w:cs="仿宋"/>
                <w:b/>
                <w:color w:val="auto"/>
                <w:sz w:val="24"/>
                <w:highlight w:val="none"/>
              </w:rPr>
              <w:t>序号</w:t>
            </w:r>
          </w:p>
        </w:tc>
        <w:tc>
          <w:tcPr>
            <w:tcW w:w="2761" w:type="dxa"/>
            <w:shd w:val="clear" w:color="auto" w:fill="auto"/>
            <w:tcMar>
              <w:top w:w="72" w:type="dxa"/>
              <w:left w:w="144" w:type="dxa"/>
              <w:bottom w:w="72" w:type="dxa"/>
              <w:right w:w="144" w:type="dxa"/>
            </w:tcMar>
            <w:vAlign w:val="center"/>
          </w:tcPr>
          <w:p>
            <w:pPr>
              <w:snapToGrid w:val="0"/>
              <w:spacing w:line="360" w:lineRule="auto"/>
              <w:jc w:val="center"/>
              <w:rPr>
                <w:rFonts w:ascii="宋体" w:hAnsi="宋体" w:cs="仿宋"/>
                <w:b/>
                <w:color w:val="auto"/>
                <w:sz w:val="24"/>
                <w:highlight w:val="none"/>
              </w:rPr>
            </w:pPr>
            <w:r>
              <w:rPr>
                <w:rFonts w:hint="eastAsia" w:hAnsi="宋体"/>
                <w:b/>
                <w:color w:val="auto"/>
                <w:sz w:val="24"/>
                <w:highlight w:val="none"/>
              </w:rPr>
              <w:t>证明材料</w:t>
            </w:r>
            <w:r>
              <w:rPr>
                <w:rFonts w:hint="eastAsia" w:ascii="宋体" w:hAnsi="宋体" w:cs="仿宋"/>
                <w:b/>
                <w:color w:val="auto"/>
                <w:sz w:val="24"/>
                <w:highlight w:val="none"/>
              </w:rPr>
              <w:t>名称</w:t>
            </w:r>
          </w:p>
        </w:tc>
        <w:tc>
          <w:tcPr>
            <w:tcW w:w="2247" w:type="dxa"/>
            <w:shd w:val="clear" w:color="auto" w:fill="auto"/>
            <w:tcMar>
              <w:top w:w="72" w:type="dxa"/>
              <w:left w:w="144" w:type="dxa"/>
              <w:bottom w:w="72" w:type="dxa"/>
              <w:right w:w="144" w:type="dxa"/>
            </w:tcMar>
            <w:vAlign w:val="center"/>
          </w:tcPr>
          <w:p>
            <w:pPr>
              <w:snapToGrid w:val="0"/>
              <w:spacing w:line="360" w:lineRule="auto"/>
              <w:jc w:val="center"/>
              <w:rPr>
                <w:rFonts w:ascii="宋体" w:hAnsi="宋体" w:cs="仿宋"/>
                <w:b/>
                <w:color w:val="auto"/>
                <w:sz w:val="24"/>
                <w:highlight w:val="none"/>
              </w:rPr>
            </w:pPr>
            <w:r>
              <w:rPr>
                <w:rFonts w:hint="eastAsia" w:hAnsi="宋体"/>
                <w:b/>
                <w:color w:val="auto"/>
                <w:sz w:val="24"/>
                <w:highlight w:val="none"/>
              </w:rPr>
              <w:t>证明材料</w:t>
            </w:r>
            <w:r>
              <w:rPr>
                <w:rFonts w:hint="eastAsia" w:ascii="宋体" w:hAnsi="宋体" w:cs="仿宋"/>
                <w:b/>
                <w:color w:val="auto"/>
                <w:sz w:val="24"/>
                <w:highlight w:val="none"/>
              </w:rPr>
              <w:t>来源</w:t>
            </w:r>
          </w:p>
        </w:tc>
        <w:tc>
          <w:tcPr>
            <w:tcW w:w="2247" w:type="dxa"/>
            <w:shd w:val="clear" w:color="auto" w:fill="auto"/>
            <w:tcMar>
              <w:top w:w="72" w:type="dxa"/>
              <w:left w:w="144" w:type="dxa"/>
              <w:bottom w:w="72" w:type="dxa"/>
              <w:right w:w="144" w:type="dxa"/>
            </w:tcMar>
            <w:vAlign w:val="center"/>
          </w:tcPr>
          <w:p>
            <w:pPr>
              <w:snapToGrid w:val="0"/>
              <w:spacing w:line="360" w:lineRule="auto"/>
              <w:jc w:val="center"/>
              <w:rPr>
                <w:rFonts w:ascii="宋体" w:hAnsi="宋体" w:cs="仿宋"/>
                <w:b/>
                <w:color w:val="auto"/>
                <w:sz w:val="24"/>
                <w:highlight w:val="none"/>
              </w:rPr>
            </w:pPr>
            <w:r>
              <w:rPr>
                <w:rFonts w:hint="eastAsia" w:ascii="宋体" w:hAnsi="宋体" w:cs="仿宋"/>
                <w:b/>
                <w:color w:val="auto"/>
                <w:sz w:val="24"/>
                <w:highlight w:val="none"/>
              </w:rPr>
              <w:t>证明对象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27" w:hRule="atLeast"/>
        </w:trPr>
        <w:tc>
          <w:tcPr>
            <w:tcW w:w="1747" w:type="dxa"/>
            <w:shd w:val="clear" w:color="auto" w:fill="auto"/>
            <w:tcMar>
              <w:top w:w="72" w:type="dxa"/>
              <w:left w:w="144" w:type="dxa"/>
              <w:bottom w:w="72" w:type="dxa"/>
              <w:right w:w="144" w:type="dxa"/>
            </w:tcMar>
          </w:tcPr>
          <w:p>
            <w:pPr>
              <w:snapToGrid w:val="0"/>
              <w:spacing w:line="360" w:lineRule="auto"/>
              <w:jc w:val="center"/>
              <w:rPr>
                <w:rFonts w:ascii="宋体" w:hAnsi="宋体" w:cs="仿宋"/>
                <w:color w:val="auto"/>
                <w:sz w:val="24"/>
                <w:highlight w:val="none"/>
              </w:rPr>
            </w:pPr>
            <w:r>
              <w:rPr>
                <w:rFonts w:ascii="宋体" w:hAnsi="宋体" w:cs="仿宋"/>
                <w:color w:val="auto"/>
                <w:sz w:val="24"/>
                <w:highlight w:val="none"/>
              </w:rPr>
              <w:t>1</w:t>
            </w:r>
          </w:p>
        </w:tc>
        <w:tc>
          <w:tcPr>
            <w:tcW w:w="2761" w:type="dxa"/>
            <w:shd w:val="clear" w:color="auto" w:fill="auto"/>
            <w:tcMar>
              <w:top w:w="72" w:type="dxa"/>
              <w:left w:w="144" w:type="dxa"/>
              <w:bottom w:w="72" w:type="dxa"/>
              <w:right w:w="144" w:type="dxa"/>
            </w:tcMar>
          </w:tcPr>
          <w:p>
            <w:pPr>
              <w:snapToGrid w:val="0"/>
              <w:spacing w:line="360" w:lineRule="auto"/>
              <w:rPr>
                <w:rFonts w:ascii="宋体" w:hAnsi="宋体" w:cs="仿宋"/>
                <w:color w:val="auto"/>
                <w:sz w:val="24"/>
                <w:highlight w:val="none"/>
              </w:rPr>
            </w:pPr>
          </w:p>
        </w:tc>
        <w:tc>
          <w:tcPr>
            <w:tcW w:w="2247" w:type="dxa"/>
            <w:shd w:val="clear" w:color="auto" w:fill="auto"/>
            <w:tcMar>
              <w:top w:w="72" w:type="dxa"/>
              <w:left w:w="144" w:type="dxa"/>
              <w:bottom w:w="72" w:type="dxa"/>
              <w:right w:w="144" w:type="dxa"/>
            </w:tcMar>
          </w:tcPr>
          <w:p>
            <w:pPr>
              <w:snapToGrid w:val="0"/>
              <w:spacing w:line="360" w:lineRule="auto"/>
              <w:rPr>
                <w:rFonts w:ascii="宋体" w:hAnsi="宋体" w:cs="仿宋"/>
                <w:color w:val="auto"/>
                <w:sz w:val="24"/>
                <w:highlight w:val="none"/>
              </w:rPr>
            </w:pPr>
          </w:p>
        </w:tc>
        <w:tc>
          <w:tcPr>
            <w:tcW w:w="2247" w:type="dxa"/>
            <w:shd w:val="clear" w:color="auto" w:fill="auto"/>
            <w:tcMar>
              <w:top w:w="72" w:type="dxa"/>
              <w:left w:w="144" w:type="dxa"/>
              <w:bottom w:w="72" w:type="dxa"/>
              <w:right w:w="144" w:type="dxa"/>
            </w:tcMar>
          </w:tcPr>
          <w:p>
            <w:pPr>
              <w:snapToGrid w:val="0"/>
              <w:spacing w:line="360" w:lineRule="auto"/>
              <w:rPr>
                <w:rFonts w:ascii="宋体" w:hAnsi="宋体"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27" w:hRule="atLeast"/>
        </w:trPr>
        <w:tc>
          <w:tcPr>
            <w:tcW w:w="1747" w:type="dxa"/>
            <w:shd w:val="clear" w:color="auto" w:fill="auto"/>
            <w:tcMar>
              <w:top w:w="72" w:type="dxa"/>
              <w:left w:w="144" w:type="dxa"/>
              <w:bottom w:w="72" w:type="dxa"/>
              <w:right w:w="144" w:type="dxa"/>
            </w:tcMar>
          </w:tcPr>
          <w:p>
            <w:pPr>
              <w:snapToGrid w:val="0"/>
              <w:spacing w:line="360" w:lineRule="auto"/>
              <w:jc w:val="center"/>
              <w:rPr>
                <w:rFonts w:ascii="宋体" w:hAnsi="宋体" w:cs="仿宋"/>
                <w:color w:val="auto"/>
                <w:sz w:val="24"/>
                <w:highlight w:val="none"/>
              </w:rPr>
            </w:pPr>
            <w:r>
              <w:rPr>
                <w:rFonts w:ascii="宋体" w:hAnsi="宋体" w:cs="仿宋"/>
                <w:color w:val="auto"/>
                <w:sz w:val="24"/>
                <w:highlight w:val="none"/>
              </w:rPr>
              <w:t>2</w:t>
            </w:r>
          </w:p>
        </w:tc>
        <w:tc>
          <w:tcPr>
            <w:tcW w:w="2761" w:type="dxa"/>
            <w:shd w:val="clear" w:color="auto" w:fill="auto"/>
            <w:tcMar>
              <w:top w:w="72" w:type="dxa"/>
              <w:left w:w="144" w:type="dxa"/>
              <w:bottom w:w="72" w:type="dxa"/>
              <w:right w:w="144" w:type="dxa"/>
            </w:tcMar>
          </w:tcPr>
          <w:p>
            <w:pPr>
              <w:snapToGrid w:val="0"/>
              <w:spacing w:line="360" w:lineRule="auto"/>
              <w:rPr>
                <w:rFonts w:ascii="宋体" w:hAnsi="宋体" w:cs="仿宋"/>
                <w:color w:val="auto"/>
                <w:sz w:val="24"/>
                <w:highlight w:val="none"/>
              </w:rPr>
            </w:pPr>
          </w:p>
        </w:tc>
        <w:tc>
          <w:tcPr>
            <w:tcW w:w="2247" w:type="dxa"/>
            <w:shd w:val="clear" w:color="auto" w:fill="auto"/>
            <w:tcMar>
              <w:top w:w="72" w:type="dxa"/>
              <w:left w:w="144" w:type="dxa"/>
              <w:bottom w:w="72" w:type="dxa"/>
              <w:right w:w="144" w:type="dxa"/>
            </w:tcMar>
          </w:tcPr>
          <w:p>
            <w:pPr>
              <w:snapToGrid w:val="0"/>
              <w:spacing w:line="360" w:lineRule="auto"/>
              <w:rPr>
                <w:rFonts w:ascii="宋体" w:hAnsi="宋体" w:cs="仿宋"/>
                <w:color w:val="auto"/>
                <w:sz w:val="24"/>
                <w:highlight w:val="none"/>
              </w:rPr>
            </w:pPr>
          </w:p>
        </w:tc>
        <w:tc>
          <w:tcPr>
            <w:tcW w:w="2247" w:type="dxa"/>
            <w:shd w:val="clear" w:color="auto" w:fill="auto"/>
            <w:tcMar>
              <w:top w:w="72" w:type="dxa"/>
              <w:left w:w="144" w:type="dxa"/>
              <w:bottom w:w="72" w:type="dxa"/>
              <w:right w:w="144" w:type="dxa"/>
            </w:tcMar>
          </w:tcPr>
          <w:p>
            <w:pPr>
              <w:snapToGrid w:val="0"/>
              <w:spacing w:line="360" w:lineRule="auto"/>
              <w:rPr>
                <w:rFonts w:ascii="宋体" w:hAnsi="宋体" w:cs="仿宋"/>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27" w:hRule="atLeast"/>
        </w:trPr>
        <w:tc>
          <w:tcPr>
            <w:tcW w:w="1747" w:type="dxa"/>
            <w:shd w:val="clear" w:color="auto" w:fill="auto"/>
            <w:tcMar>
              <w:top w:w="72" w:type="dxa"/>
              <w:left w:w="144" w:type="dxa"/>
              <w:bottom w:w="72" w:type="dxa"/>
              <w:right w:w="144" w:type="dxa"/>
            </w:tcMar>
          </w:tcPr>
          <w:p>
            <w:pPr>
              <w:snapToGrid w:val="0"/>
              <w:spacing w:line="360" w:lineRule="auto"/>
              <w:jc w:val="center"/>
              <w:rPr>
                <w:rFonts w:ascii="宋体" w:hAnsi="宋体" w:cs="仿宋"/>
                <w:color w:val="auto"/>
                <w:sz w:val="24"/>
                <w:highlight w:val="none"/>
              </w:rPr>
            </w:pPr>
            <w:r>
              <w:rPr>
                <w:rFonts w:hint="eastAsia" w:ascii="宋体" w:hAnsi="宋体" w:cs="仿宋"/>
                <w:color w:val="auto"/>
                <w:sz w:val="24"/>
                <w:highlight w:val="none"/>
              </w:rPr>
              <w:t>……</w:t>
            </w:r>
          </w:p>
        </w:tc>
        <w:tc>
          <w:tcPr>
            <w:tcW w:w="2761" w:type="dxa"/>
            <w:shd w:val="clear" w:color="auto" w:fill="auto"/>
            <w:tcMar>
              <w:top w:w="72" w:type="dxa"/>
              <w:left w:w="144" w:type="dxa"/>
              <w:bottom w:w="72" w:type="dxa"/>
              <w:right w:w="144" w:type="dxa"/>
            </w:tcMar>
          </w:tcPr>
          <w:p>
            <w:pPr>
              <w:snapToGrid w:val="0"/>
              <w:spacing w:line="360" w:lineRule="auto"/>
              <w:rPr>
                <w:rFonts w:ascii="宋体" w:hAnsi="宋体" w:cs="仿宋"/>
                <w:color w:val="auto"/>
                <w:sz w:val="24"/>
                <w:highlight w:val="none"/>
              </w:rPr>
            </w:pPr>
          </w:p>
        </w:tc>
        <w:tc>
          <w:tcPr>
            <w:tcW w:w="2247" w:type="dxa"/>
            <w:shd w:val="clear" w:color="auto" w:fill="auto"/>
            <w:tcMar>
              <w:top w:w="72" w:type="dxa"/>
              <w:left w:w="144" w:type="dxa"/>
              <w:bottom w:w="72" w:type="dxa"/>
              <w:right w:w="144" w:type="dxa"/>
            </w:tcMar>
          </w:tcPr>
          <w:p>
            <w:pPr>
              <w:snapToGrid w:val="0"/>
              <w:spacing w:line="360" w:lineRule="auto"/>
              <w:rPr>
                <w:rFonts w:ascii="宋体" w:hAnsi="宋体" w:cs="仿宋"/>
                <w:color w:val="auto"/>
                <w:sz w:val="24"/>
                <w:highlight w:val="none"/>
              </w:rPr>
            </w:pPr>
          </w:p>
        </w:tc>
        <w:tc>
          <w:tcPr>
            <w:tcW w:w="2247" w:type="dxa"/>
            <w:shd w:val="clear" w:color="auto" w:fill="auto"/>
            <w:tcMar>
              <w:top w:w="72" w:type="dxa"/>
              <w:left w:w="144" w:type="dxa"/>
              <w:bottom w:w="72" w:type="dxa"/>
              <w:right w:w="144" w:type="dxa"/>
            </w:tcMar>
          </w:tcPr>
          <w:p>
            <w:pPr>
              <w:snapToGrid w:val="0"/>
              <w:spacing w:line="360" w:lineRule="auto"/>
              <w:rPr>
                <w:rFonts w:ascii="宋体" w:hAnsi="宋体" w:cs="仿宋"/>
                <w:color w:val="auto"/>
                <w:sz w:val="24"/>
                <w:highlight w:val="none"/>
              </w:rPr>
            </w:pPr>
          </w:p>
        </w:tc>
      </w:tr>
    </w:tbl>
    <w:p>
      <w:pPr>
        <w:pStyle w:val="24"/>
        <w:widowControl/>
        <w:numPr>
          <w:ilvl w:val="0"/>
          <w:numId w:val="75"/>
        </w:numPr>
        <w:spacing w:line="360" w:lineRule="auto"/>
        <w:ind w:firstLineChars="0"/>
        <w:jc w:val="left"/>
        <w:rPr>
          <w:rFonts w:ascii="宋体" w:hAnsi="宋体"/>
          <w:b/>
          <w:color w:val="auto"/>
          <w:sz w:val="24"/>
          <w:highlight w:val="none"/>
        </w:rPr>
      </w:pPr>
      <w:r>
        <w:rPr>
          <w:rFonts w:hint="eastAsia" w:ascii="宋体" w:hAnsi="宋体"/>
          <w:b/>
          <w:color w:val="auto"/>
          <w:sz w:val="24"/>
          <w:highlight w:val="none"/>
        </w:rPr>
        <w:t>相关说明</w:t>
      </w:r>
    </w:p>
    <w:p>
      <w:pPr>
        <w:pStyle w:val="24"/>
        <w:widowControl/>
        <w:numPr>
          <w:ilvl w:val="0"/>
          <w:numId w:val="76"/>
        </w:numPr>
        <w:spacing w:line="360" w:lineRule="auto"/>
        <w:ind w:firstLineChars="0"/>
        <w:jc w:val="left"/>
        <w:rPr>
          <w:rFonts w:ascii="宋体" w:hAnsi="宋体"/>
          <w:color w:val="auto"/>
          <w:sz w:val="24"/>
          <w:highlight w:val="none"/>
        </w:rPr>
      </w:pPr>
      <w:r>
        <w:rPr>
          <w:rFonts w:hint="eastAsia" w:ascii="宋体" w:hAnsi="宋体"/>
          <w:color w:val="auto"/>
          <w:sz w:val="24"/>
          <w:highlight w:val="none"/>
        </w:rPr>
        <w:t>供应商提出质疑时，应提交质疑函和必要的证明材料。</w:t>
      </w:r>
    </w:p>
    <w:p>
      <w:pPr>
        <w:pStyle w:val="24"/>
        <w:widowControl/>
        <w:numPr>
          <w:ilvl w:val="0"/>
          <w:numId w:val="76"/>
        </w:numPr>
        <w:spacing w:line="360" w:lineRule="auto"/>
        <w:ind w:firstLineChars="0"/>
        <w:jc w:val="left"/>
        <w:rPr>
          <w:rFonts w:ascii="宋体" w:hAnsi="宋体"/>
          <w:color w:val="auto"/>
          <w:sz w:val="24"/>
          <w:highlight w:val="none"/>
        </w:rPr>
      </w:pPr>
      <w:r>
        <w:rPr>
          <w:rFonts w:hint="eastAsia" w:ascii="宋体" w:hAnsi="宋体"/>
          <w:color w:val="auto"/>
          <w:sz w:val="24"/>
          <w:highlight w:val="none"/>
        </w:rPr>
        <w:t>质疑供应商若委托代理人进行质疑的，质疑函应按要求列明“授权代表”的有关内容，并在附件中提交由质疑</w:t>
      </w:r>
      <w:r>
        <w:rPr>
          <w:rFonts w:hint="eastAsia" w:ascii="宋体" w:hAnsi="宋体" w:cs="宋体"/>
          <w:color w:val="auto"/>
          <w:sz w:val="24"/>
          <w:highlight w:val="none"/>
        </w:rPr>
        <w:t>供应商签署的授权委托书。授权委托书应载明代理人的姓名或者名称、代理事项、具体权限、期限和相关事项。</w:t>
      </w:r>
    </w:p>
    <w:p>
      <w:pPr>
        <w:pStyle w:val="24"/>
        <w:widowControl/>
        <w:numPr>
          <w:ilvl w:val="0"/>
          <w:numId w:val="76"/>
        </w:numPr>
        <w:spacing w:line="360" w:lineRule="auto"/>
        <w:ind w:firstLineChars="0"/>
        <w:jc w:val="left"/>
        <w:rPr>
          <w:rFonts w:ascii="宋体" w:hAnsi="宋体"/>
          <w:color w:val="auto"/>
          <w:sz w:val="24"/>
          <w:highlight w:val="none"/>
        </w:rPr>
      </w:pPr>
      <w:r>
        <w:rPr>
          <w:rFonts w:hint="eastAsia" w:ascii="宋体" w:hAnsi="宋体"/>
          <w:color w:val="auto"/>
          <w:sz w:val="24"/>
          <w:highlight w:val="none"/>
        </w:rPr>
        <w:t>质疑供应商若对项目的某一分包进行质疑，质疑函中</w:t>
      </w:r>
      <w:r>
        <w:rPr>
          <w:rFonts w:hint="eastAsia" w:ascii="宋体" w:hAnsi="宋体"/>
          <w:b/>
          <w:color w:val="auto"/>
          <w:sz w:val="24"/>
          <w:highlight w:val="none"/>
          <w:u w:val="single"/>
        </w:rPr>
        <w:t>应列明具体分包号</w:t>
      </w:r>
      <w:r>
        <w:rPr>
          <w:rFonts w:hint="eastAsia" w:ascii="宋体" w:hAnsi="宋体"/>
          <w:color w:val="auto"/>
          <w:sz w:val="24"/>
          <w:highlight w:val="none"/>
        </w:rPr>
        <w:t>。</w:t>
      </w:r>
    </w:p>
    <w:p>
      <w:pPr>
        <w:pStyle w:val="24"/>
        <w:widowControl/>
        <w:numPr>
          <w:ilvl w:val="0"/>
          <w:numId w:val="76"/>
        </w:numPr>
        <w:spacing w:line="360" w:lineRule="auto"/>
        <w:ind w:firstLineChars="0"/>
        <w:jc w:val="left"/>
        <w:rPr>
          <w:rFonts w:ascii="宋体" w:hAnsi="宋体"/>
          <w:color w:val="auto"/>
          <w:sz w:val="24"/>
          <w:highlight w:val="none"/>
        </w:rPr>
      </w:pPr>
      <w:r>
        <w:rPr>
          <w:rFonts w:hint="eastAsia" w:ascii="宋体" w:hAnsi="宋体"/>
          <w:color w:val="auto"/>
          <w:sz w:val="24"/>
          <w:highlight w:val="none"/>
        </w:rPr>
        <w:t>质疑函的质疑事项应具体、明确，并有必要的事实依据和法律依据。</w:t>
      </w:r>
    </w:p>
    <w:p>
      <w:pPr>
        <w:pStyle w:val="24"/>
        <w:widowControl/>
        <w:numPr>
          <w:ilvl w:val="0"/>
          <w:numId w:val="76"/>
        </w:numPr>
        <w:spacing w:line="360" w:lineRule="auto"/>
        <w:ind w:firstLineChars="0"/>
        <w:jc w:val="left"/>
        <w:rPr>
          <w:rFonts w:ascii="宋体" w:hAnsi="宋体"/>
          <w:color w:val="auto"/>
          <w:sz w:val="24"/>
          <w:highlight w:val="none"/>
        </w:rPr>
      </w:pPr>
      <w:r>
        <w:rPr>
          <w:rFonts w:hint="eastAsia" w:ascii="宋体" w:hAnsi="宋体"/>
          <w:color w:val="auto"/>
          <w:sz w:val="24"/>
          <w:highlight w:val="none"/>
        </w:rPr>
        <w:t>质疑函的质疑请求应与质疑事项相关。</w:t>
      </w:r>
    </w:p>
    <w:p>
      <w:pPr>
        <w:pStyle w:val="24"/>
        <w:numPr>
          <w:ilvl w:val="0"/>
          <w:numId w:val="76"/>
        </w:numPr>
        <w:spacing w:line="360" w:lineRule="auto"/>
        <w:ind w:firstLineChars="0"/>
        <w:rPr>
          <w:rFonts w:ascii="宋体" w:hAnsi="宋体"/>
          <w:color w:val="auto"/>
          <w:sz w:val="24"/>
          <w:highlight w:val="none"/>
        </w:rPr>
      </w:pPr>
      <w:r>
        <w:rPr>
          <w:rFonts w:hint="eastAsia" w:ascii="宋体" w:hAnsi="宋体"/>
          <w:color w:val="auto"/>
          <w:sz w:val="24"/>
          <w:highlight w:val="none"/>
        </w:rPr>
        <w:t>质疑供应商为自然人的，质疑函应由本人签字；质疑供应商为法人或者其他组织的，质疑函应由法定代表人、主要负责人，或者其授权代表签字或者盖个人名章，并加盖公章。</w:t>
      </w:r>
    </w:p>
    <w:p>
      <w:pPr>
        <w:pStyle w:val="24"/>
        <w:numPr>
          <w:ilvl w:val="0"/>
          <w:numId w:val="76"/>
        </w:numPr>
        <w:spacing w:line="360" w:lineRule="auto"/>
        <w:ind w:firstLineChars="0"/>
        <w:rPr>
          <w:rFonts w:ascii="宋体" w:hAnsi="宋体"/>
          <w:color w:val="auto"/>
          <w:sz w:val="24"/>
          <w:highlight w:val="none"/>
        </w:rPr>
      </w:pPr>
      <w:r>
        <w:rPr>
          <w:rFonts w:hint="eastAsia" w:ascii="宋体" w:hAnsi="宋体"/>
          <w:color w:val="auto"/>
          <w:sz w:val="24"/>
          <w:highlight w:val="none"/>
        </w:rPr>
        <w:t>供应商应在提交的证明材料中对质疑点的内容</w:t>
      </w:r>
      <w:r>
        <w:rPr>
          <w:rFonts w:hint="eastAsia" w:ascii="宋体" w:hAnsi="宋体"/>
          <w:b/>
          <w:color w:val="auto"/>
          <w:sz w:val="24"/>
          <w:highlight w:val="none"/>
          <w:u w:val="single"/>
        </w:rPr>
        <w:t>作出相应的标识或以醒目的方式标明</w:t>
      </w:r>
      <w:r>
        <w:rPr>
          <w:rFonts w:hint="eastAsia" w:ascii="宋体" w:hAnsi="宋体"/>
          <w:color w:val="auto"/>
          <w:sz w:val="24"/>
          <w:highlight w:val="none"/>
        </w:rPr>
        <w:t>。</w:t>
      </w:r>
    </w:p>
    <w:p>
      <w:pPr>
        <w:widowControl/>
        <w:jc w:val="left"/>
        <w:rPr>
          <w:rFonts w:ascii="宋体" w:hAnsi="宋体"/>
          <w:b/>
          <w:color w:val="auto"/>
          <w:sz w:val="24"/>
          <w:highlight w:val="none"/>
        </w:rPr>
      </w:pPr>
      <w:r>
        <w:rPr>
          <w:b/>
          <w:bCs/>
          <w:color w:val="auto"/>
          <w:sz w:val="28"/>
          <w:szCs w:val="28"/>
          <w:highlight w:val="none"/>
        </w:rPr>
        <w:br w:type="page"/>
      </w:r>
      <w:bookmarkEnd w:id="9"/>
      <w:bookmarkEnd w:id="10"/>
      <w:bookmarkEnd w:id="11"/>
      <w:bookmarkEnd w:id="16"/>
      <w:bookmarkStart w:id="43" w:name="_Toc13067023"/>
    </w:p>
    <w:p>
      <w:pPr>
        <w:spacing w:beforeLines="50" w:afterLines="50" w:line="360" w:lineRule="auto"/>
        <w:jc w:val="center"/>
        <w:outlineLvl w:val="0"/>
        <w:rPr>
          <w:b/>
          <w:bCs/>
          <w:color w:val="auto"/>
          <w:sz w:val="28"/>
          <w:szCs w:val="28"/>
          <w:highlight w:val="none"/>
        </w:rPr>
      </w:pPr>
      <w:bookmarkStart w:id="44" w:name="_Toc5654"/>
      <w:r>
        <w:rPr>
          <w:rFonts w:hint="eastAsia"/>
          <w:b/>
          <w:bCs/>
          <w:color w:val="auto"/>
          <w:sz w:val="28"/>
          <w:szCs w:val="28"/>
          <w:highlight w:val="none"/>
        </w:rPr>
        <w:t>第五章 合同格式条款</w:t>
      </w:r>
      <w:bookmarkEnd w:id="43"/>
      <w:bookmarkEnd w:id="44"/>
    </w:p>
    <w:p>
      <w:pPr>
        <w:tabs>
          <w:tab w:val="left" w:pos="720"/>
        </w:tabs>
        <w:spacing w:line="360" w:lineRule="auto"/>
        <w:jc w:val="center"/>
        <w:rPr>
          <w:rFonts w:ascii="宋体" w:hAnsi="宋体" w:cs="宋体"/>
          <w:b/>
          <w:color w:val="auto"/>
          <w:sz w:val="24"/>
          <w:szCs w:val="21"/>
          <w:highlight w:val="none"/>
        </w:rPr>
      </w:pPr>
      <w:r>
        <w:rPr>
          <w:rFonts w:hint="eastAsia" w:ascii="宋体" w:hAnsi="宋体" w:cs="宋体"/>
          <w:b/>
          <w:color w:val="auto"/>
          <w:sz w:val="24"/>
          <w:szCs w:val="21"/>
          <w:highlight w:val="none"/>
        </w:rPr>
        <w:t>合同通用条款</w:t>
      </w:r>
    </w:p>
    <w:p>
      <w:pPr>
        <w:spacing w:line="360" w:lineRule="auto"/>
        <w:rPr>
          <w:rFonts w:ascii="宋体" w:hAnsi="宋体"/>
          <w:b/>
          <w:color w:val="auto"/>
          <w:sz w:val="24"/>
          <w:highlight w:val="none"/>
        </w:rPr>
      </w:pPr>
      <w:r>
        <w:rPr>
          <w:rFonts w:hint="eastAsia" w:ascii="宋体" w:hAnsi="宋体"/>
          <w:b/>
          <w:color w:val="auto"/>
          <w:sz w:val="24"/>
          <w:highlight w:val="none"/>
        </w:rPr>
        <w:t>甲    方</w:t>
      </w:r>
      <w:r>
        <w:rPr>
          <w:rFonts w:hint="eastAsia" w:ascii="宋体" w:hAnsi="宋体" w:cs="宋体"/>
          <w:color w:val="auto"/>
          <w:sz w:val="24"/>
          <w:highlight w:val="none"/>
        </w:rPr>
        <w:t>（采购人）</w:t>
      </w:r>
      <w:r>
        <w:rPr>
          <w:rFonts w:hint="eastAsia" w:ascii="宋体" w:hAnsi="宋体"/>
          <w:b/>
          <w:color w:val="auto"/>
          <w:sz w:val="24"/>
          <w:highlight w:val="none"/>
        </w:rPr>
        <w:t>：</w:t>
      </w:r>
    </w:p>
    <w:p>
      <w:pPr>
        <w:spacing w:line="360" w:lineRule="auto"/>
        <w:rPr>
          <w:rFonts w:ascii="宋体" w:hAnsi="宋体"/>
          <w:color w:val="auto"/>
          <w:sz w:val="24"/>
          <w:highlight w:val="none"/>
        </w:rPr>
      </w:pPr>
      <w:r>
        <w:rPr>
          <w:rFonts w:hint="eastAsia" w:ascii="宋体" w:hAnsi="宋体"/>
          <w:color w:val="auto"/>
          <w:sz w:val="24"/>
          <w:highlight w:val="none"/>
        </w:rPr>
        <w:t xml:space="preserve">电    话：          </w:t>
      </w:r>
    </w:p>
    <w:p>
      <w:pPr>
        <w:spacing w:line="360" w:lineRule="auto"/>
        <w:rPr>
          <w:rFonts w:ascii="宋体" w:hAnsi="宋体"/>
          <w:color w:val="auto"/>
          <w:sz w:val="24"/>
          <w:highlight w:val="none"/>
        </w:rPr>
      </w:pPr>
      <w:r>
        <w:rPr>
          <w:rFonts w:hint="eastAsia" w:ascii="宋体" w:hAnsi="宋体"/>
          <w:color w:val="auto"/>
          <w:sz w:val="24"/>
          <w:highlight w:val="none"/>
        </w:rPr>
        <w:t xml:space="preserve">传  真：          </w:t>
      </w:r>
    </w:p>
    <w:p>
      <w:pPr>
        <w:spacing w:line="360" w:lineRule="auto"/>
        <w:rPr>
          <w:rFonts w:ascii="宋体" w:hAnsi="宋体"/>
          <w:color w:val="auto"/>
          <w:sz w:val="24"/>
          <w:highlight w:val="none"/>
        </w:rPr>
      </w:pPr>
      <w:r>
        <w:rPr>
          <w:rFonts w:hint="eastAsia" w:ascii="宋体" w:hAnsi="宋体"/>
          <w:color w:val="auto"/>
          <w:sz w:val="24"/>
          <w:highlight w:val="none"/>
        </w:rPr>
        <w:t>住  所：</w:t>
      </w:r>
    </w:p>
    <w:p>
      <w:pPr>
        <w:spacing w:line="360" w:lineRule="auto"/>
        <w:rPr>
          <w:rFonts w:ascii="宋体" w:hAnsi="宋体"/>
          <w:color w:val="auto"/>
          <w:sz w:val="24"/>
          <w:highlight w:val="none"/>
        </w:rPr>
      </w:pPr>
      <w:r>
        <w:rPr>
          <w:rFonts w:hint="eastAsia" w:ascii="宋体" w:hAnsi="宋体"/>
          <w:b/>
          <w:color w:val="auto"/>
          <w:sz w:val="24"/>
          <w:highlight w:val="none"/>
        </w:rPr>
        <w:t>乙    方</w:t>
      </w:r>
      <w:r>
        <w:rPr>
          <w:rFonts w:hint="eastAsia" w:ascii="宋体" w:hAnsi="宋体" w:cs="宋体"/>
          <w:color w:val="auto"/>
          <w:sz w:val="24"/>
          <w:highlight w:val="none"/>
        </w:rPr>
        <w:t>（中标人）</w:t>
      </w:r>
      <w:r>
        <w:rPr>
          <w:rFonts w:hint="eastAsia" w:ascii="宋体" w:hAnsi="宋体"/>
          <w:b/>
          <w:color w:val="auto"/>
          <w:sz w:val="24"/>
          <w:highlight w:val="none"/>
        </w:rPr>
        <w:t>：</w:t>
      </w:r>
      <w:r>
        <w:rPr>
          <w:rFonts w:hint="eastAsia" w:ascii="宋体" w:hAnsi="宋体"/>
          <w:b/>
          <w:color w:val="auto"/>
          <w:sz w:val="24"/>
          <w:highlight w:val="none"/>
        </w:rPr>
        <w:br w:type="textWrapping"/>
      </w:r>
      <w:r>
        <w:rPr>
          <w:rFonts w:hint="eastAsia" w:ascii="宋体" w:hAnsi="宋体"/>
          <w:color w:val="auto"/>
          <w:sz w:val="24"/>
          <w:highlight w:val="none"/>
        </w:rPr>
        <w:t xml:space="preserve">电    话：                </w:t>
      </w:r>
    </w:p>
    <w:p>
      <w:pPr>
        <w:spacing w:line="360" w:lineRule="auto"/>
        <w:rPr>
          <w:rFonts w:ascii="宋体" w:hAnsi="宋体"/>
          <w:color w:val="auto"/>
          <w:sz w:val="24"/>
          <w:highlight w:val="none"/>
        </w:rPr>
      </w:pPr>
      <w:r>
        <w:rPr>
          <w:rFonts w:hint="eastAsia" w:ascii="宋体" w:hAnsi="宋体"/>
          <w:color w:val="auto"/>
          <w:sz w:val="24"/>
          <w:highlight w:val="none"/>
        </w:rPr>
        <w:t xml:space="preserve">传  真：           住  所：   </w:t>
      </w:r>
    </w:p>
    <w:p>
      <w:pPr>
        <w:spacing w:line="360" w:lineRule="auto"/>
        <w:ind w:firstLine="480" w:firstLineChars="200"/>
        <w:rPr>
          <w:rFonts w:ascii="宋体" w:hAnsi="宋体"/>
          <w:color w:val="auto"/>
          <w:sz w:val="24"/>
          <w:highlight w:val="none"/>
        </w:rPr>
      </w:pPr>
      <w:r>
        <w:rPr>
          <w:rFonts w:hint="eastAsia" w:ascii="宋体" w:hAnsi="宋体" w:cs="宋体"/>
          <w:color w:val="auto"/>
          <w:sz w:val="24"/>
          <w:highlight w:val="none"/>
        </w:rPr>
        <w:t>根据</w:t>
      </w:r>
      <w:r>
        <w:rPr>
          <w:rFonts w:hint="eastAsia" w:ascii="宋体" w:hAnsi="宋体" w:cs="宋体"/>
          <w:color w:val="auto"/>
          <w:sz w:val="24"/>
          <w:highlight w:val="none"/>
          <w:u w:val="single"/>
        </w:rPr>
        <w:t>2020-2021年食品安全监督抽检项目</w:t>
      </w:r>
      <w:r>
        <w:rPr>
          <w:rFonts w:hint="eastAsia" w:ascii="宋体" w:hAnsi="宋体" w:cs="宋体"/>
          <w:color w:val="auto"/>
          <w:sz w:val="24"/>
          <w:highlight w:val="none"/>
        </w:rPr>
        <w:t>（项目编号：</w:t>
      </w:r>
      <w:r>
        <w:rPr>
          <w:rFonts w:hint="eastAsia" w:ascii="宋体" w:hAnsi="宋体"/>
          <w:color w:val="auto"/>
          <w:sz w:val="24"/>
          <w:highlight w:val="none"/>
        </w:rPr>
        <w:t>kp2020-00239（CLF0120JM00ZC33）</w:t>
      </w:r>
      <w:r>
        <w:rPr>
          <w:rFonts w:hint="eastAsia" w:ascii="宋体" w:hAnsi="宋体" w:cs="宋体"/>
          <w:color w:val="auto"/>
          <w:sz w:val="24"/>
          <w:highlight w:val="none"/>
        </w:rPr>
        <w:t>）</w:t>
      </w:r>
      <w:r>
        <w:rPr>
          <w:rFonts w:hint="eastAsia" w:ascii="宋体" w:hAnsi="宋体"/>
          <w:color w:val="auto"/>
          <w:sz w:val="24"/>
          <w:highlight w:val="none"/>
        </w:rPr>
        <w:t>的采购结果，按照《中华人民共和国政府采购法》</w:t>
      </w:r>
      <w:r>
        <w:rPr>
          <w:rFonts w:hint="eastAsia" w:ascii="宋体" w:hAnsi="宋体" w:cs="宋体"/>
          <w:color w:val="auto"/>
          <w:sz w:val="24"/>
          <w:highlight w:val="none"/>
        </w:rPr>
        <w:t>及其实施条例</w:t>
      </w:r>
      <w:r>
        <w:rPr>
          <w:rFonts w:hint="eastAsia" w:ascii="宋体" w:hAnsi="宋体"/>
          <w:color w:val="auto"/>
          <w:sz w:val="24"/>
          <w:highlight w:val="none"/>
        </w:rPr>
        <w:t>、《中华人民共和国合同法》的规定，</w:t>
      </w:r>
      <w:r>
        <w:rPr>
          <w:rFonts w:hint="eastAsia" w:ascii="宋体" w:hAnsi="宋体"/>
          <w:color w:val="auto"/>
          <w:kern w:val="28"/>
          <w:sz w:val="24"/>
          <w:highlight w:val="none"/>
        </w:rPr>
        <w:t>经双方协商，</w:t>
      </w:r>
      <w:r>
        <w:rPr>
          <w:rFonts w:hint="eastAsia" w:ascii="宋体" w:hAnsi="宋体"/>
          <w:color w:val="auto"/>
          <w:sz w:val="24"/>
          <w:highlight w:val="none"/>
        </w:rPr>
        <w:t>本着平等互利和诚实信用的原则，</w:t>
      </w:r>
      <w:r>
        <w:rPr>
          <w:rFonts w:hint="eastAsia" w:ascii="宋体" w:hAnsi="宋体"/>
          <w:color w:val="auto"/>
          <w:kern w:val="28"/>
          <w:sz w:val="24"/>
          <w:highlight w:val="none"/>
        </w:rPr>
        <w:t>一致同意签订本合同如下</w:t>
      </w:r>
      <w:r>
        <w:rPr>
          <w:rFonts w:hint="eastAsia" w:ascii="宋体" w:hAnsi="宋体"/>
          <w:color w:val="auto"/>
          <w:sz w:val="24"/>
          <w:highlight w:val="none"/>
        </w:rPr>
        <w:t>。</w:t>
      </w:r>
    </w:p>
    <w:p>
      <w:pPr>
        <w:numPr>
          <w:ilvl w:val="0"/>
          <w:numId w:val="77"/>
        </w:numPr>
        <w:autoSpaceDE w:val="0"/>
        <w:autoSpaceDN w:val="0"/>
        <w:spacing w:line="360" w:lineRule="auto"/>
        <w:ind w:left="506" w:hanging="506" w:hangingChars="210"/>
        <w:jc w:val="left"/>
        <w:outlineLvl w:val="3"/>
        <w:rPr>
          <w:rFonts w:ascii="宋体" w:hAnsi="宋体"/>
          <w:b/>
          <w:color w:val="auto"/>
          <w:sz w:val="24"/>
          <w:highlight w:val="none"/>
        </w:rPr>
      </w:pPr>
      <w:r>
        <w:rPr>
          <w:rFonts w:hint="eastAsia" w:ascii="宋体" w:hAnsi="宋体"/>
          <w:b/>
          <w:color w:val="auto"/>
          <w:sz w:val="24"/>
          <w:highlight w:val="none"/>
        </w:rPr>
        <w:t>采购标的、数量</w:t>
      </w:r>
    </w:p>
    <w:tbl>
      <w:tblPr>
        <w:tblStyle w:val="1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42"/>
        <w:gridCol w:w="5022"/>
        <w:gridCol w:w="313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tabs>
                <w:tab w:val="left" w:pos="426"/>
              </w:tabs>
              <w:autoSpaceDE w:val="0"/>
              <w:autoSpaceDN w:val="0"/>
              <w:spacing w:line="360" w:lineRule="auto"/>
              <w:jc w:val="center"/>
              <w:rPr>
                <w:rFonts w:ascii="宋体" w:hAnsi="宋体"/>
                <w:b/>
                <w:color w:val="auto"/>
                <w:sz w:val="24"/>
                <w:highlight w:val="none"/>
              </w:rPr>
            </w:pPr>
            <w:r>
              <w:rPr>
                <w:rFonts w:hint="eastAsia" w:ascii="宋体" w:hAnsi="宋体"/>
                <w:b/>
                <w:color w:val="auto"/>
                <w:sz w:val="24"/>
                <w:highlight w:val="none"/>
              </w:rPr>
              <w:t>序号</w:t>
            </w:r>
          </w:p>
        </w:tc>
        <w:tc>
          <w:tcPr>
            <w:tcW w:w="5022" w:type="dxa"/>
          </w:tcPr>
          <w:p>
            <w:pPr>
              <w:tabs>
                <w:tab w:val="left" w:pos="426"/>
              </w:tabs>
              <w:autoSpaceDE w:val="0"/>
              <w:autoSpaceDN w:val="0"/>
              <w:spacing w:line="360" w:lineRule="auto"/>
              <w:jc w:val="center"/>
              <w:rPr>
                <w:rFonts w:ascii="宋体" w:hAnsi="宋体"/>
                <w:color w:val="auto"/>
                <w:sz w:val="24"/>
                <w:highlight w:val="none"/>
              </w:rPr>
            </w:pPr>
            <w:r>
              <w:rPr>
                <w:rFonts w:hint="eastAsia" w:ascii="宋体" w:hAnsi="宋体"/>
                <w:b/>
                <w:color w:val="auto"/>
                <w:sz w:val="24"/>
                <w:highlight w:val="none"/>
              </w:rPr>
              <w:t>采购标的</w:t>
            </w:r>
          </w:p>
        </w:tc>
        <w:tc>
          <w:tcPr>
            <w:tcW w:w="3132" w:type="dxa"/>
          </w:tcPr>
          <w:p>
            <w:pPr>
              <w:tabs>
                <w:tab w:val="left" w:pos="426"/>
              </w:tabs>
              <w:autoSpaceDE w:val="0"/>
              <w:autoSpaceDN w:val="0"/>
              <w:spacing w:line="360" w:lineRule="auto"/>
              <w:jc w:val="center"/>
              <w:rPr>
                <w:rFonts w:ascii="宋体" w:hAnsi="宋体"/>
                <w:b/>
                <w:color w:val="auto"/>
                <w:sz w:val="24"/>
                <w:highlight w:val="none"/>
              </w:rPr>
            </w:pPr>
            <w:r>
              <w:rPr>
                <w:rFonts w:hint="eastAsia" w:ascii="宋体" w:hAnsi="宋体"/>
                <w:b/>
                <w:color w:val="auto"/>
                <w:sz w:val="24"/>
                <w:highlight w:val="none"/>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tabs>
                <w:tab w:val="left" w:pos="426"/>
              </w:tabs>
              <w:autoSpaceDE w:val="0"/>
              <w:autoSpaceDN w:val="0"/>
              <w:spacing w:line="360" w:lineRule="auto"/>
              <w:jc w:val="center"/>
              <w:rPr>
                <w:rFonts w:ascii="宋体" w:hAnsi="宋体"/>
                <w:color w:val="auto"/>
                <w:sz w:val="24"/>
                <w:highlight w:val="none"/>
              </w:rPr>
            </w:pPr>
            <w:r>
              <w:rPr>
                <w:rFonts w:hint="eastAsia" w:ascii="宋体" w:hAnsi="宋体"/>
                <w:color w:val="auto"/>
                <w:sz w:val="24"/>
                <w:highlight w:val="none"/>
              </w:rPr>
              <w:t>1</w:t>
            </w:r>
          </w:p>
        </w:tc>
        <w:tc>
          <w:tcPr>
            <w:tcW w:w="5022" w:type="dxa"/>
          </w:tcPr>
          <w:p>
            <w:pPr>
              <w:tabs>
                <w:tab w:val="left" w:pos="426"/>
              </w:tabs>
              <w:autoSpaceDE w:val="0"/>
              <w:autoSpaceDN w:val="0"/>
              <w:spacing w:line="360" w:lineRule="auto"/>
              <w:jc w:val="left"/>
              <w:rPr>
                <w:rFonts w:ascii="宋体" w:hAnsi="宋体"/>
                <w:color w:val="auto"/>
                <w:sz w:val="24"/>
                <w:highlight w:val="none"/>
              </w:rPr>
            </w:pPr>
          </w:p>
        </w:tc>
        <w:tc>
          <w:tcPr>
            <w:tcW w:w="3132" w:type="dxa"/>
          </w:tcPr>
          <w:p>
            <w:pPr>
              <w:tabs>
                <w:tab w:val="left" w:pos="426"/>
              </w:tabs>
              <w:autoSpaceDE w:val="0"/>
              <w:autoSpaceDN w:val="0"/>
              <w:spacing w:line="360" w:lineRule="auto"/>
              <w:jc w:val="left"/>
              <w:rPr>
                <w:rFonts w:ascii="宋体" w:hAnsi="宋体"/>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tabs>
                <w:tab w:val="left" w:pos="426"/>
              </w:tabs>
              <w:autoSpaceDE w:val="0"/>
              <w:autoSpaceDN w:val="0"/>
              <w:spacing w:line="360" w:lineRule="auto"/>
              <w:jc w:val="center"/>
              <w:rPr>
                <w:rFonts w:ascii="宋体" w:hAnsi="宋体"/>
                <w:color w:val="auto"/>
                <w:sz w:val="24"/>
                <w:highlight w:val="none"/>
              </w:rPr>
            </w:pPr>
            <w:r>
              <w:rPr>
                <w:rFonts w:hint="eastAsia" w:ascii="宋体" w:hAnsi="宋体"/>
                <w:color w:val="auto"/>
                <w:sz w:val="24"/>
                <w:highlight w:val="none"/>
              </w:rPr>
              <w:t>2</w:t>
            </w:r>
          </w:p>
        </w:tc>
        <w:tc>
          <w:tcPr>
            <w:tcW w:w="5022" w:type="dxa"/>
          </w:tcPr>
          <w:p>
            <w:pPr>
              <w:pStyle w:val="24"/>
              <w:widowControl/>
              <w:spacing w:line="360" w:lineRule="auto"/>
              <w:ind w:left="425" w:firstLine="0" w:firstLineChars="0"/>
              <w:jc w:val="left"/>
              <w:rPr>
                <w:rFonts w:ascii="宋体" w:hAnsi="宋体"/>
                <w:color w:val="auto"/>
                <w:sz w:val="24"/>
                <w:highlight w:val="none"/>
              </w:rPr>
            </w:pPr>
          </w:p>
        </w:tc>
        <w:tc>
          <w:tcPr>
            <w:tcW w:w="3132" w:type="dxa"/>
          </w:tcPr>
          <w:p>
            <w:pPr>
              <w:tabs>
                <w:tab w:val="left" w:pos="426"/>
              </w:tabs>
              <w:autoSpaceDE w:val="0"/>
              <w:autoSpaceDN w:val="0"/>
              <w:spacing w:line="360" w:lineRule="auto"/>
              <w:jc w:val="left"/>
              <w:rPr>
                <w:rFonts w:ascii="宋体" w:hAnsi="宋体"/>
                <w:color w:val="auto"/>
                <w:sz w:val="24"/>
                <w:highlight w:val="none"/>
              </w:rPr>
            </w:pPr>
          </w:p>
        </w:tc>
      </w:tr>
    </w:tbl>
    <w:p>
      <w:pPr>
        <w:numPr>
          <w:ilvl w:val="0"/>
          <w:numId w:val="77"/>
        </w:numPr>
        <w:autoSpaceDE w:val="0"/>
        <w:autoSpaceDN w:val="0"/>
        <w:spacing w:line="360" w:lineRule="auto"/>
        <w:ind w:left="506" w:hanging="506" w:hangingChars="210"/>
        <w:jc w:val="left"/>
        <w:outlineLvl w:val="3"/>
        <w:rPr>
          <w:rFonts w:ascii="宋体" w:hAnsi="宋体"/>
          <w:b/>
          <w:color w:val="auto"/>
          <w:sz w:val="24"/>
          <w:highlight w:val="none"/>
        </w:rPr>
      </w:pPr>
      <w:bookmarkStart w:id="45" w:name="_Toc435540759"/>
      <w:r>
        <w:rPr>
          <w:rFonts w:hint="eastAsia" w:ascii="宋体" w:hAnsi="宋体"/>
          <w:b/>
          <w:color w:val="auto"/>
          <w:sz w:val="24"/>
          <w:highlight w:val="none"/>
        </w:rPr>
        <w:t>合同金额</w:t>
      </w:r>
      <w:bookmarkEnd w:id="45"/>
    </w:p>
    <w:p>
      <w:pPr>
        <w:pStyle w:val="8"/>
        <w:spacing w:line="360" w:lineRule="auto"/>
        <w:ind w:firstLine="480" w:firstLineChars="200"/>
        <w:rPr>
          <w:rFonts w:hAnsi="宋体"/>
          <w:color w:val="auto"/>
          <w:sz w:val="24"/>
          <w:szCs w:val="24"/>
          <w:highlight w:val="none"/>
        </w:rPr>
      </w:pPr>
      <w:r>
        <w:rPr>
          <w:rFonts w:hint="eastAsia" w:hAnsi="宋体"/>
          <w:color w:val="auto"/>
          <w:sz w:val="24"/>
          <w:szCs w:val="24"/>
          <w:highlight w:val="none"/>
        </w:rPr>
        <w:t>合同金额为（大写）：_________________元（￥_______________元）。</w:t>
      </w:r>
    </w:p>
    <w:p>
      <w:pPr>
        <w:numPr>
          <w:ilvl w:val="0"/>
          <w:numId w:val="77"/>
        </w:numPr>
        <w:autoSpaceDE w:val="0"/>
        <w:autoSpaceDN w:val="0"/>
        <w:spacing w:line="360" w:lineRule="auto"/>
        <w:ind w:left="506" w:hanging="506" w:hangingChars="210"/>
        <w:jc w:val="left"/>
        <w:outlineLvl w:val="3"/>
        <w:rPr>
          <w:rFonts w:asciiTheme="minorEastAsia" w:hAnsiTheme="minorEastAsia"/>
          <w:b/>
          <w:color w:val="auto"/>
          <w:sz w:val="24"/>
          <w:highlight w:val="none"/>
        </w:rPr>
      </w:pPr>
      <w:bookmarkStart w:id="46" w:name="_Toc435540761"/>
      <w:r>
        <w:rPr>
          <w:rFonts w:hint="eastAsia" w:asciiTheme="minorEastAsia" w:hAnsiTheme="minorEastAsia"/>
          <w:b/>
          <w:color w:val="auto"/>
          <w:sz w:val="24"/>
          <w:highlight w:val="none"/>
        </w:rPr>
        <w:t>项目服务内容</w:t>
      </w:r>
    </w:p>
    <w:p>
      <w:pPr>
        <w:numPr>
          <w:ilvl w:val="0"/>
          <w:numId w:val="78"/>
        </w:numPr>
        <w:snapToGrid w:val="0"/>
        <w:spacing w:line="360" w:lineRule="auto"/>
        <w:ind w:left="709" w:hanging="709"/>
        <w:rPr>
          <w:rFonts w:cs="Courier New" w:asciiTheme="minorEastAsia" w:hAnsiTheme="minorEastAsia"/>
          <w:color w:val="auto"/>
          <w:sz w:val="24"/>
          <w:highlight w:val="none"/>
        </w:rPr>
      </w:pPr>
      <w:r>
        <w:rPr>
          <w:rFonts w:hint="eastAsia" w:cs="宋体" w:asciiTheme="minorEastAsia" w:hAnsiTheme="minorEastAsia"/>
          <w:color w:val="auto"/>
          <w:sz w:val="24"/>
          <w:highlight w:val="none"/>
        </w:rPr>
        <w:t>本项目的项目预算已包含乙方在项目实施过程中的检验费、购样费、抽样机、分析报告等所有费用，甲方不另外支付其他费用。</w:t>
      </w:r>
    </w:p>
    <w:p>
      <w:pPr>
        <w:numPr>
          <w:ilvl w:val="0"/>
          <w:numId w:val="78"/>
        </w:numPr>
        <w:snapToGrid w:val="0"/>
        <w:spacing w:line="360" w:lineRule="auto"/>
        <w:ind w:left="709" w:hanging="709"/>
        <w:rPr>
          <w:rFonts w:cs="Courier New" w:asciiTheme="minorEastAsia" w:hAnsiTheme="minorEastAsia"/>
          <w:color w:val="auto"/>
          <w:sz w:val="24"/>
          <w:highlight w:val="none"/>
        </w:rPr>
      </w:pPr>
      <w:r>
        <w:rPr>
          <w:rFonts w:hint="eastAsia" w:cs="Courier New" w:asciiTheme="minorEastAsia" w:hAnsiTheme="minorEastAsia"/>
          <w:color w:val="auto"/>
          <w:sz w:val="24"/>
          <w:highlight w:val="none"/>
        </w:rPr>
        <w:t>受疫情影响，项目资金如因财政减支原因造成项目资金减少情况下，实际项目量将以财政拨款金额进行调整，直至财政拨款款项使用完毕后，项目结束。</w:t>
      </w:r>
      <w:r>
        <w:rPr>
          <w:rFonts w:hint="eastAsia" w:cs="Courier New" w:asciiTheme="minorEastAsia" w:hAnsiTheme="minorEastAsia"/>
          <w:color w:val="auto"/>
          <w:sz w:val="24"/>
          <w:highlight w:val="none"/>
          <w:lang w:eastAsia="zh-CN"/>
        </w:rPr>
        <w:t>甲方</w:t>
      </w:r>
      <w:r>
        <w:rPr>
          <w:rFonts w:hint="eastAsia" w:cs="Courier New" w:asciiTheme="minorEastAsia" w:hAnsiTheme="minorEastAsia"/>
          <w:color w:val="auto"/>
          <w:sz w:val="24"/>
          <w:highlight w:val="none"/>
        </w:rPr>
        <w:t>不承担因财政减支原因对</w:t>
      </w:r>
      <w:r>
        <w:rPr>
          <w:rFonts w:hint="eastAsia" w:cs="Courier New" w:asciiTheme="minorEastAsia" w:hAnsiTheme="minorEastAsia"/>
          <w:color w:val="auto"/>
          <w:sz w:val="24"/>
          <w:highlight w:val="none"/>
          <w:lang w:eastAsia="zh-CN"/>
        </w:rPr>
        <w:t>乙方</w:t>
      </w:r>
      <w:r>
        <w:rPr>
          <w:rFonts w:hint="eastAsia" w:cs="Courier New" w:asciiTheme="minorEastAsia" w:hAnsiTheme="minorEastAsia"/>
          <w:color w:val="auto"/>
          <w:sz w:val="24"/>
          <w:highlight w:val="none"/>
        </w:rPr>
        <w:t>造成的项目损失</w:t>
      </w:r>
      <w:r>
        <w:rPr>
          <w:rFonts w:hint="eastAsia" w:cs="Courier New" w:asciiTheme="minorEastAsia" w:hAnsiTheme="minorEastAsia"/>
          <w:color w:val="auto"/>
          <w:sz w:val="24"/>
          <w:highlight w:val="none"/>
          <w:lang w:eastAsia="zh-CN"/>
        </w:rPr>
        <w:t>。</w:t>
      </w:r>
    </w:p>
    <w:p>
      <w:pPr>
        <w:numPr>
          <w:ilvl w:val="0"/>
          <w:numId w:val="78"/>
        </w:numPr>
        <w:snapToGrid w:val="0"/>
        <w:spacing w:line="360" w:lineRule="auto"/>
        <w:ind w:left="709" w:hanging="709"/>
        <w:rPr>
          <w:rFonts w:ascii="宋体" w:hAnsi="宋体" w:cs="宋体"/>
          <w:color w:val="auto"/>
          <w:sz w:val="24"/>
          <w:highlight w:val="none"/>
        </w:rPr>
      </w:pPr>
      <w:r>
        <w:rPr>
          <w:rFonts w:hint="eastAsia" w:cs="宋体" w:asciiTheme="minorEastAsia" w:hAnsiTheme="minorEastAsia"/>
          <w:color w:val="auto"/>
          <w:sz w:val="24"/>
          <w:highlight w:val="none"/>
        </w:rPr>
        <w:t>基本</w:t>
      </w:r>
      <w:r>
        <w:rPr>
          <w:rFonts w:hint="eastAsia" w:ascii="宋体" w:hAnsi="宋体" w:cs="宋体"/>
          <w:color w:val="auto"/>
          <w:sz w:val="24"/>
          <w:highlight w:val="none"/>
        </w:rPr>
        <w:t>要求</w:t>
      </w:r>
    </w:p>
    <w:p>
      <w:pPr>
        <w:pStyle w:val="24"/>
        <w:numPr>
          <w:ilvl w:val="0"/>
          <w:numId w:val="79"/>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乙方能在国家食品安全抽样检验信息系统中出具含电子签章的检验报告。</w:t>
      </w:r>
    </w:p>
    <w:p>
      <w:pPr>
        <w:pStyle w:val="24"/>
        <w:numPr>
          <w:ilvl w:val="0"/>
          <w:numId w:val="79"/>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乙方及其检验人应当依照有关法律法规的规定从事食品检验活动。应当尊重科学，恪守职业道德，保证出具的检验数据和结论客观、公正、准确、可追溯，不得出具虚假检验数据和报告。</w:t>
      </w:r>
    </w:p>
    <w:p>
      <w:pPr>
        <w:pStyle w:val="24"/>
        <w:numPr>
          <w:ilvl w:val="0"/>
          <w:numId w:val="79"/>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依据依照食品安全国家标准。对没有食品安全国家标准的，可按照地方标准、食品卫生标准、食品质量标准和有关食品的行业标准，食品安全地方标准，企业标准、产品标签明示值或国家明文规定的限量值及国家指定的特定检验方法等进行检验。应急情况下，可采用经科学验证的参考方法和内部方法。</w:t>
      </w:r>
    </w:p>
    <w:p>
      <w:pPr>
        <w:pStyle w:val="24"/>
        <w:numPr>
          <w:ilvl w:val="0"/>
          <w:numId w:val="79"/>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乙方负责提供每次检验所需的交通工具，积极配合抽检工作。</w:t>
      </w:r>
    </w:p>
    <w:p>
      <w:pPr>
        <w:pStyle w:val="24"/>
        <w:numPr>
          <w:ilvl w:val="0"/>
          <w:numId w:val="79"/>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乙方实验室检验设备、检验人员充裕，能满足食品检验的特殊要求，能按时按质完成抽检任务，出具合法有效的检验报告。</w:t>
      </w:r>
    </w:p>
    <w:p>
      <w:pPr>
        <w:pStyle w:val="24"/>
        <w:numPr>
          <w:ilvl w:val="0"/>
          <w:numId w:val="79"/>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乙方技术服务水平高，采样操作规范，实验室质量控制严格，近3年无食品检验数据严重质量问题。</w:t>
      </w:r>
    </w:p>
    <w:p>
      <w:pPr>
        <w:pStyle w:val="24"/>
        <w:numPr>
          <w:ilvl w:val="0"/>
          <w:numId w:val="79"/>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乙方应按照专业操守尽职尽责，根据国内的相关标准进行样品的抽样、检验及判定工作，并且按当次抽检方案约定日期出具检验报告；在甲方与第三方同等的条件下，乙方应优先完成对甲方的抽检和监测任务。</w:t>
      </w:r>
    </w:p>
    <w:p>
      <w:pPr>
        <w:pStyle w:val="24"/>
        <w:numPr>
          <w:ilvl w:val="0"/>
          <w:numId w:val="79"/>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食品安全抽检监测工作遵照</w:t>
      </w:r>
      <w:r>
        <w:rPr>
          <w:rFonts w:hint="eastAsia" w:ascii="宋体" w:hAnsi="宋体" w:cs="宋体"/>
          <w:color w:val="auto"/>
          <w:sz w:val="24"/>
          <w:highlight w:val="none"/>
          <w:lang w:eastAsia="zh-CN"/>
        </w:rPr>
        <w:t>国家市场监督管理总局</w:t>
      </w:r>
      <w:r>
        <w:rPr>
          <w:rFonts w:hint="eastAsia" w:ascii="宋体" w:hAnsi="宋体" w:cs="宋体"/>
          <w:color w:val="auto"/>
          <w:sz w:val="24"/>
          <w:highlight w:val="none"/>
        </w:rPr>
        <w:t>制定的最新工作规范执行。</w:t>
      </w:r>
    </w:p>
    <w:p>
      <w:pPr>
        <w:pStyle w:val="24"/>
        <w:numPr>
          <w:ilvl w:val="0"/>
          <w:numId w:val="79"/>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乙方对检验结果的真实性负责，由于虚假、错误检验数据和结论而给被检人造成损失的，或者给社会带来不良影响的，取消其承检资格，并承担赔偿责任及相应法律责任。</w:t>
      </w:r>
    </w:p>
    <w:p>
      <w:pPr>
        <w:pStyle w:val="24"/>
        <w:numPr>
          <w:ilvl w:val="0"/>
          <w:numId w:val="79"/>
        </w:numPr>
        <w:tabs>
          <w:tab w:val="left" w:pos="2340"/>
        </w:tabs>
        <w:spacing w:line="360" w:lineRule="auto"/>
        <w:ind w:firstLineChars="0"/>
        <w:rPr>
          <w:rFonts w:hint="eastAsia" w:ascii="宋体" w:hAnsi="宋体" w:cs="宋体"/>
          <w:color w:val="auto"/>
          <w:sz w:val="24"/>
          <w:highlight w:val="none"/>
        </w:rPr>
      </w:pPr>
      <w:r>
        <w:rPr>
          <w:rFonts w:hint="eastAsia" w:ascii="宋体" w:hAnsi="宋体" w:cs="宋体"/>
          <w:color w:val="auto"/>
          <w:sz w:val="24"/>
          <w:highlight w:val="none"/>
        </w:rPr>
        <w:t>涉及抽样的全部情况包括数据及结果，乙方必须对抽检监测的结果及数据等信息保密，不得向除甲方外的任何单位与个人透露，否则取消其承检资格；如造成经济损失及不良影响的，追究其经济赔偿责任和法律责任。</w:t>
      </w:r>
    </w:p>
    <w:p>
      <w:pPr>
        <w:pStyle w:val="24"/>
        <w:numPr>
          <w:ilvl w:val="0"/>
          <w:numId w:val="79"/>
        </w:numPr>
        <w:tabs>
          <w:tab w:val="left" w:pos="2340"/>
        </w:tabs>
        <w:spacing w:line="360" w:lineRule="auto"/>
        <w:ind w:firstLineChars="0"/>
        <w:rPr>
          <w:rFonts w:hint="eastAsia" w:ascii="宋体" w:hAnsi="宋体" w:cs="宋体"/>
          <w:color w:val="auto"/>
          <w:sz w:val="24"/>
          <w:highlight w:val="none"/>
        </w:rPr>
      </w:pPr>
      <w:r>
        <w:rPr>
          <w:rFonts w:hint="eastAsia" w:ascii="宋体" w:hAnsi="宋体" w:cs="宋体"/>
          <w:color w:val="auto"/>
          <w:sz w:val="24"/>
          <w:highlight w:val="none"/>
        </w:rPr>
        <w:t>乙方应积极配合甲方开展抽检及后续工作，及时反馈检验不合格样品的信息。应安排专人与甲方联系，并提供手机、QQ、微信、邮箱等联系方式，必要时应在半小时内及时响应甲方需求，2小时内到达甲方指定地点。</w:t>
      </w:r>
    </w:p>
    <w:p>
      <w:pPr>
        <w:pStyle w:val="24"/>
        <w:numPr>
          <w:ilvl w:val="0"/>
          <w:numId w:val="79"/>
        </w:numPr>
        <w:tabs>
          <w:tab w:val="left" w:pos="2340"/>
        </w:tabs>
        <w:spacing w:line="360" w:lineRule="auto"/>
        <w:ind w:firstLineChars="0"/>
        <w:rPr>
          <w:rFonts w:hint="eastAsia" w:ascii="宋体" w:hAnsi="宋体" w:cs="宋体"/>
          <w:color w:val="auto"/>
          <w:sz w:val="24"/>
          <w:highlight w:val="none"/>
        </w:rPr>
      </w:pPr>
      <w:r>
        <w:rPr>
          <w:rFonts w:hint="eastAsia" w:ascii="宋体" w:hAnsi="宋体" w:cs="宋体"/>
          <w:color w:val="auto"/>
          <w:sz w:val="24"/>
          <w:highlight w:val="none"/>
        </w:rPr>
        <w:t>乙方应及时响应应急任务需求，可在180分钟内将样品送达实验室，具备实施应急抽检的能力和经验。此外，还需具有网络订餐（外卖）微生物项目抽检能力(符合国家相关检测标准)，并及时将样品在120分钟内送达实验室进行检验。</w:t>
      </w:r>
    </w:p>
    <w:p>
      <w:pPr>
        <w:pStyle w:val="24"/>
        <w:numPr>
          <w:ilvl w:val="0"/>
          <w:numId w:val="79"/>
        </w:numPr>
        <w:tabs>
          <w:tab w:val="left" w:pos="2340"/>
        </w:tabs>
        <w:spacing w:line="360" w:lineRule="auto"/>
        <w:ind w:firstLineChars="0"/>
        <w:rPr>
          <w:rFonts w:hint="eastAsia" w:ascii="宋体" w:hAnsi="宋体" w:cs="宋体"/>
          <w:color w:val="auto"/>
          <w:sz w:val="24"/>
          <w:highlight w:val="none"/>
        </w:rPr>
      </w:pPr>
      <w:r>
        <w:rPr>
          <w:rFonts w:hint="eastAsia" w:ascii="宋体" w:hAnsi="宋体" w:cs="宋体"/>
          <w:color w:val="auto"/>
          <w:sz w:val="24"/>
          <w:highlight w:val="none"/>
        </w:rPr>
        <w:t>乙方对其抽取的样品负责，检验结果反映送检样品的真实状况。</w:t>
      </w:r>
    </w:p>
    <w:p>
      <w:pPr>
        <w:pStyle w:val="24"/>
        <w:numPr>
          <w:ilvl w:val="0"/>
          <w:numId w:val="79"/>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乙方应针对每次任务提供承接项目的质量保障计划、措施和结果，保证原始记录规范完整，并接受甲方组织的专家检查及评估。</w:t>
      </w:r>
    </w:p>
    <w:p>
      <w:pPr>
        <w:pStyle w:val="24"/>
        <w:numPr>
          <w:ilvl w:val="0"/>
          <w:numId w:val="79"/>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对乙方在开展抽检监测过程中弄虚作假或不配合甲方开展工作的，取消其承检资格，并追究其经济赔偿责任和法律责任。</w:t>
      </w:r>
    </w:p>
    <w:p>
      <w:pPr>
        <w:numPr>
          <w:ilvl w:val="0"/>
          <w:numId w:val="77"/>
        </w:numPr>
        <w:autoSpaceDE w:val="0"/>
        <w:autoSpaceDN w:val="0"/>
        <w:spacing w:line="360" w:lineRule="auto"/>
        <w:ind w:left="506" w:hanging="506" w:hangingChars="210"/>
        <w:jc w:val="left"/>
        <w:outlineLvl w:val="3"/>
        <w:rPr>
          <w:rFonts w:ascii="宋体" w:hAnsi="宋体" w:cs="宋体"/>
          <w:b/>
          <w:color w:val="auto"/>
          <w:sz w:val="24"/>
          <w:highlight w:val="none"/>
        </w:rPr>
      </w:pPr>
      <w:r>
        <w:rPr>
          <w:rFonts w:hint="eastAsia" w:ascii="宋体" w:hAnsi="宋体" w:cs="宋体"/>
          <w:b/>
          <w:color w:val="auto"/>
          <w:sz w:val="24"/>
          <w:highlight w:val="none"/>
        </w:rPr>
        <w:t>乙方应履行的职责</w:t>
      </w:r>
    </w:p>
    <w:p>
      <w:pPr>
        <w:pStyle w:val="24"/>
        <w:numPr>
          <w:ilvl w:val="0"/>
          <w:numId w:val="80"/>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采样地点：开平市内，每次任务根据实际工作要求确定具体采样地点。乙方应甲方要求准时到达指定采样地点。</w:t>
      </w:r>
    </w:p>
    <w:p>
      <w:pPr>
        <w:pStyle w:val="24"/>
        <w:numPr>
          <w:ilvl w:val="0"/>
          <w:numId w:val="80"/>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采样人员：协助监督执法人员采样或者受</w:t>
      </w:r>
      <w:r>
        <w:rPr>
          <w:rFonts w:hint="eastAsia" w:ascii="宋体" w:hAnsi="宋体" w:cs="宋体"/>
          <w:color w:val="auto"/>
          <w:sz w:val="24"/>
          <w:highlight w:val="none"/>
          <w:lang w:eastAsia="zh-CN"/>
        </w:rPr>
        <w:t>开平市市场监督管理局</w:t>
      </w:r>
      <w:r>
        <w:rPr>
          <w:rFonts w:hint="eastAsia" w:ascii="宋体" w:hAnsi="宋体" w:cs="宋体"/>
          <w:color w:val="auto"/>
          <w:sz w:val="24"/>
          <w:highlight w:val="none"/>
        </w:rPr>
        <w:t>委托独立开展采样，提供符合食品抽样要求的相关工具、容器，受委托采样时应当出示监督抽检通知书、委托书等文件及有效身份证明文件，并且具有采样资格的人员不得少于2人。</w:t>
      </w:r>
    </w:p>
    <w:p>
      <w:pPr>
        <w:pStyle w:val="24"/>
        <w:numPr>
          <w:ilvl w:val="0"/>
          <w:numId w:val="80"/>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采样办法：根据检验项目及国家标准中规定的采样方法及采样数量抽取样品。</w:t>
      </w:r>
    </w:p>
    <w:p>
      <w:pPr>
        <w:pStyle w:val="24"/>
        <w:numPr>
          <w:ilvl w:val="0"/>
          <w:numId w:val="80"/>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样品运输：由乙方负责，具备单日安排至少4台抽检车辆的能力，并确保样品质量不受影响，如甲方有紧急批量抽检任务，可同时安排4个以上的抽检小组参加抽样。</w:t>
      </w:r>
    </w:p>
    <w:p>
      <w:pPr>
        <w:pStyle w:val="24"/>
        <w:numPr>
          <w:ilvl w:val="0"/>
          <w:numId w:val="80"/>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样品保存：抽（采）样过程应当确保样品的完整性、安全性和稳定性。样品数量应当满足检验工作的需要。建立检验结果复验程序，在检验结果不合格或存疑等情况时进行复验并保存记录，确保数据结果准确可靠。</w:t>
      </w:r>
    </w:p>
    <w:p>
      <w:pPr>
        <w:pStyle w:val="24"/>
        <w:numPr>
          <w:ilvl w:val="0"/>
          <w:numId w:val="80"/>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样品检验：由乙方负责，并对样品检验结果负责。检验应当严格依据标准检验方法或经确认的非标准检验方法，确保方法中相关要求的有效实施，如果国家检验标准有变化的，按照最新发布的检验要求进行。必须按照甲方要求完成检验品种的规定项目，且承担全部抽检品种的检验检测。</w:t>
      </w:r>
    </w:p>
    <w:p>
      <w:pPr>
        <w:pStyle w:val="24"/>
        <w:numPr>
          <w:ilvl w:val="0"/>
          <w:numId w:val="80"/>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结果判定：检验项目中有一项不符合标准要求即判定本批次食品样品抽检不合格。</w:t>
      </w:r>
    </w:p>
    <w:p>
      <w:pPr>
        <w:pStyle w:val="24"/>
        <w:numPr>
          <w:ilvl w:val="0"/>
          <w:numId w:val="80"/>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结果送达：乙方应在规定的时间内完成甲方部署的抽检监测工作，依法出具检验报告，并按要求及时送达。食品抽检监测的检验结论合格的，乙方应当在检验结论做出后5个工作日内，将检验报告报送至甲方。食品抽检监测检验结论不合格的，乙方应当在检验结论做出后2个工作日内，将不合格检验报告，以及抽取该样品时采集的现场信息和抽样文书等材料报送至甲方，不合格检测报告为一式四份。乙方应保存邮件详情单，以备查询。抽检方未经甲方同意不得擅自将不合格的检验结果告知被抽检单位，一经发现立即取消资格。法律法规规定必须提供的其他文书也一并送达。报告邮递费由检验机构承担。</w:t>
      </w:r>
    </w:p>
    <w:p>
      <w:pPr>
        <w:pStyle w:val="24"/>
        <w:numPr>
          <w:ilvl w:val="0"/>
          <w:numId w:val="80"/>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总结分析：对所检验样品依法出具检验报告，并撰写监督抽检总结分析报告，报告应包括以下内容：组织实施情况（包括采样分布、抽检品种及项目、抽检频次及数量等）、抽检结果分析、发现的主要问题及原因等。每季度初前需向甲方报送按品种按地区分别统计的上季度抽检汇总表和情况分析。</w:t>
      </w:r>
    </w:p>
    <w:p>
      <w:pPr>
        <w:numPr>
          <w:ilvl w:val="0"/>
          <w:numId w:val="80"/>
        </w:numPr>
        <w:spacing w:line="360" w:lineRule="auto"/>
        <w:rPr>
          <w:rFonts w:ascii="宋体" w:hAnsi="宋体" w:cs="宋体"/>
          <w:color w:val="auto"/>
          <w:kern w:val="2"/>
          <w:sz w:val="24"/>
          <w:highlight w:val="none"/>
        </w:rPr>
      </w:pPr>
      <w:r>
        <w:rPr>
          <w:rFonts w:hint="eastAsia" w:ascii="宋体" w:hAnsi="宋体" w:cs="宋体"/>
          <w:color w:val="auto"/>
          <w:kern w:val="2"/>
          <w:sz w:val="24"/>
          <w:highlight w:val="none"/>
        </w:rPr>
        <w:t>全市全年汇总分析：收集全市全年各环节的食品抽检数据，检验机构发挥专业技术水平，为</w:t>
      </w:r>
      <w:r>
        <w:rPr>
          <w:rFonts w:hint="eastAsia" w:ascii="宋体" w:hAnsi="宋体" w:cs="宋体"/>
          <w:color w:val="auto"/>
          <w:sz w:val="24"/>
          <w:highlight w:val="none"/>
        </w:rPr>
        <w:t>甲方</w:t>
      </w:r>
      <w:r>
        <w:rPr>
          <w:rFonts w:hint="eastAsia" w:ascii="宋体" w:hAnsi="宋体" w:cs="宋体"/>
          <w:color w:val="auto"/>
          <w:kern w:val="2"/>
          <w:sz w:val="24"/>
          <w:highlight w:val="none"/>
        </w:rPr>
        <w:t>食品安全监管工作提供强力的技术支撑，全面分析全市全年食品安全监管现状和食品抽检工作总体情况，按不同品种、环节、辖区进行抽检情况分析（含数据图表分析），对不合格项目的危害及警示等，提出今后加强食品安全监管工作的指向。</w:t>
      </w:r>
    </w:p>
    <w:p>
      <w:pPr>
        <w:pStyle w:val="24"/>
        <w:numPr>
          <w:ilvl w:val="0"/>
          <w:numId w:val="80"/>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按照甲方的要求，及时将检验报告的相关资料录入国家食品安全监督抽样检验信息系统和广东智慧食药监系统。</w:t>
      </w:r>
    </w:p>
    <w:p>
      <w:pPr>
        <w:pStyle w:val="24"/>
        <w:numPr>
          <w:ilvl w:val="0"/>
          <w:numId w:val="80"/>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监督整改：接受甲方及开平市食品检验所有关技术人员的质量监督、对发现的问题立即改正。</w:t>
      </w:r>
    </w:p>
    <w:p>
      <w:pPr>
        <w:numPr>
          <w:ilvl w:val="0"/>
          <w:numId w:val="77"/>
        </w:numPr>
        <w:autoSpaceDE w:val="0"/>
        <w:autoSpaceDN w:val="0"/>
        <w:spacing w:line="360" w:lineRule="auto"/>
        <w:ind w:left="506" w:hanging="506" w:hangingChars="210"/>
        <w:jc w:val="left"/>
        <w:outlineLvl w:val="3"/>
        <w:rPr>
          <w:rFonts w:ascii="宋体" w:hAnsi="宋体" w:cs="宋体"/>
          <w:b/>
          <w:color w:val="auto"/>
          <w:sz w:val="24"/>
          <w:highlight w:val="none"/>
        </w:rPr>
      </w:pPr>
      <w:r>
        <w:rPr>
          <w:rFonts w:hint="eastAsia" w:ascii="宋体" w:hAnsi="宋体" w:cs="宋体"/>
          <w:b/>
          <w:color w:val="auto"/>
          <w:sz w:val="24"/>
          <w:highlight w:val="none"/>
        </w:rPr>
        <w:t>乙方从业人员及设备要求</w:t>
      </w:r>
    </w:p>
    <w:p>
      <w:pPr>
        <w:pStyle w:val="24"/>
        <w:numPr>
          <w:ilvl w:val="0"/>
          <w:numId w:val="81"/>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人员应当熟悉掌握食品安全标准、卫生标准等标准，有能力按照最新相关标准规定的方法从事检测工作，因抽检内容多且繁杂，要求具有高级职称或博士学位的人员，需配备一支专业团队，为甲方研判检验报告和日常监管工作提供权威有力的技术支撑。</w:t>
      </w:r>
    </w:p>
    <w:p>
      <w:pPr>
        <w:pStyle w:val="24"/>
        <w:numPr>
          <w:ilvl w:val="0"/>
          <w:numId w:val="81"/>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检验机构从业人员应持证上岗，抽样人员和检验人员工作稳定性强，能保证食品抽样检验工作的连续性和稳定性。</w:t>
      </w:r>
    </w:p>
    <w:p>
      <w:pPr>
        <w:pStyle w:val="24"/>
        <w:numPr>
          <w:ilvl w:val="0"/>
          <w:numId w:val="81"/>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检验人员相关工作经验丰富、数量充足能够及时出具准确的检测数据，要求在抽样之日起15个工作日内出具检验报告，能独立承担抽样、检测、数据汇总、结果报送工作。</w:t>
      </w:r>
    </w:p>
    <w:p>
      <w:pPr>
        <w:pStyle w:val="24"/>
        <w:numPr>
          <w:ilvl w:val="0"/>
          <w:numId w:val="81"/>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检验机构应当建立健全仪器设备、标准物质、标准菌（毒）种管理制度，规范管理使用，加强核查，确保其准确可靠，并满足溯源性要求。</w:t>
      </w:r>
    </w:p>
    <w:p>
      <w:pPr>
        <w:pStyle w:val="24"/>
        <w:numPr>
          <w:ilvl w:val="0"/>
          <w:numId w:val="81"/>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检验机构实验室应正确配备满足所开展的检验活动必需的仪器设备（包括软件）、抽样、样品制备和前处理装置以及标准物质(参考物质)或标准菌种、数据处理与分析设备</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冷库、冷库车</w:t>
      </w:r>
      <w:r>
        <w:rPr>
          <w:rFonts w:hint="eastAsia" w:ascii="宋体" w:hAnsi="宋体" w:cs="宋体"/>
          <w:color w:val="auto"/>
          <w:sz w:val="24"/>
          <w:highlight w:val="none"/>
        </w:rPr>
        <w:t>等。所用仪器设备的技术指标和功能应满足要求，量程应与被测参数的技术指标相适应。</w:t>
      </w:r>
    </w:p>
    <w:p>
      <w:pPr>
        <w:pStyle w:val="24"/>
        <w:numPr>
          <w:ilvl w:val="0"/>
          <w:numId w:val="81"/>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检验机构能够提供高质量的技术服务，能够及时解决抽检过程中遇到的难题。技术团队有相当数量的中、高级职称或硕士以上高学历的技术人员，具有先进的检测设备。</w:t>
      </w:r>
    </w:p>
    <w:p>
      <w:pPr>
        <w:pStyle w:val="24"/>
        <w:numPr>
          <w:ilvl w:val="0"/>
          <w:numId w:val="81"/>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乙方应在</w:t>
      </w:r>
      <w:r>
        <w:rPr>
          <w:rFonts w:hint="eastAsia" w:asciiTheme="minorEastAsia" w:hAnsiTheme="minorEastAsia"/>
          <w:color w:val="auto"/>
          <w:sz w:val="24"/>
          <w:highlight w:val="none"/>
        </w:rPr>
        <w:t>江门地区内开设</w:t>
      </w:r>
      <w:r>
        <w:rPr>
          <w:rFonts w:hint="eastAsia" w:ascii="宋体" w:hAnsi="宋体" w:cs="宋体"/>
          <w:color w:val="auto"/>
          <w:sz w:val="24"/>
          <w:highlight w:val="none"/>
        </w:rPr>
        <w:t>实验室</w:t>
      </w:r>
      <w:r>
        <w:rPr>
          <w:rFonts w:hint="eastAsia" w:asciiTheme="minorEastAsia" w:hAnsiTheme="minorEastAsia"/>
          <w:color w:val="auto"/>
          <w:sz w:val="24"/>
          <w:highlight w:val="none"/>
        </w:rPr>
        <w:t>(自合同签订之日起6个月内）</w:t>
      </w:r>
      <w:r>
        <w:rPr>
          <w:rFonts w:hint="eastAsia" w:ascii="宋体" w:hAnsi="宋体" w:cs="宋体"/>
          <w:color w:val="auto"/>
          <w:sz w:val="24"/>
          <w:highlight w:val="none"/>
        </w:rPr>
        <w:t>，以及专用于食品检验活动所需的检测、环境控制、冷藏和冷冻、数据处理与分析、信息传输设施和设备。</w:t>
      </w:r>
    </w:p>
    <w:p>
      <w:pPr>
        <w:pStyle w:val="24"/>
        <w:numPr>
          <w:ilvl w:val="0"/>
          <w:numId w:val="81"/>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为保证项目质量及样品检测及时性，乙方在</w:t>
      </w:r>
      <w:r>
        <w:rPr>
          <w:rFonts w:hint="eastAsia" w:ascii="宋体" w:hAnsi="宋体" w:cs="宋体"/>
          <w:color w:val="auto"/>
          <w:sz w:val="24"/>
          <w:highlight w:val="none"/>
          <w:lang w:eastAsia="zh-CN"/>
        </w:rPr>
        <w:t>开平</w:t>
      </w:r>
      <w:r>
        <w:rPr>
          <w:rFonts w:hint="eastAsia" w:ascii="宋体" w:hAnsi="宋体" w:cs="宋体"/>
          <w:color w:val="auto"/>
          <w:sz w:val="24"/>
          <w:highlight w:val="none"/>
        </w:rPr>
        <w:t>市设立服务点（自合同签订之日起1个月内），服务点至少配备两名技术人员及一辆检测车。</w:t>
      </w:r>
    </w:p>
    <w:p>
      <w:pPr>
        <w:pStyle w:val="24"/>
        <w:numPr>
          <w:ilvl w:val="0"/>
          <w:numId w:val="81"/>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检验机构实验室应当有完善的仪器设备档案、人员技术档案、检验资料档案、标准物质和标准菌种档案。档案保存期限应当满足相关法律法规要求和检验工作追溯需要。</w:t>
      </w:r>
    </w:p>
    <w:p>
      <w:pPr>
        <w:pStyle w:val="24"/>
        <w:numPr>
          <w:ilvl w:val="0"/>
          <w:numId w:val="81"/>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检验机构应配备专门从事（有资格）抽样工作的人员，具备专用于食品抽样活动所需的车辆、抽样冷藏设施。</w:t>
      </w:r>
    </w:p>
    <w:p>
      <w:pPr>
        <w:pStyle w:val="24"/>
        <w:numPr>
          <w:ilvl w:val="0"/>
          <w:numId w:val="81"/>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检验机构有明确规范的关于承担政府部门委托食品抽样检验的工作制度和程序，实施针对性的专项质量控制活动，严格按照任务委托部门制定的计划、实施方案和指定的检验方法进行抽（采）样、检验和结果上报，不得有意回避或者选择性抽样，不得事先有意告知被抽样单位，不得瞒报、谎报数据结果等信息，不得擅自对外发布或者泄露数据。</w:t>
      </w:r>
    </w:p>
    <w:p>
      <w:pPr>
        <w:pStyle w:val="24"/>
        <w:numPr>
          <w:ilvl w:val="0"/>
          <w:numId w:val="81"/>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抽样和检验分离。即对某一食品样品的抽检，承检机构派出的抽样人员与检验人员不得为同一人。</w:t>
      </w:r>
    </w:p>
    <w:p>
      <w:pPr>
        <w:pStyle w:val="24"/>
        <w:numPr>
          <w:ilvl w:val="0"/>
          <w:numId w:val="81"/>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乙方须对抽检过程进行录像，并保存视频不少于1年，如甲方需要，乙方需及时调档视频。</w:t>
      </w:r>
    </w:p>
    <w:p>
      <w:pPr>
        <w:pStyle w:val="24"/>
        <w:numPr>
          <w:ilvl w:val="0"/>
          <w:numId w:val="81"/>
        </w:numPr>
        <w:tabs>
          <w:tab w:val="left" w:pos="2340"/>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投标人需针对本项目详细制定以下内容：①公司管理制度②抽样管理制度③检验检测管理制度④信息保密制度⑤应急响应制度。</w:t>
      </w:r>
    </w:p>
    <w:p>
      <w:pPr>
        <w:numPr>
          <w:ilvl w:val="0"/>
          <w:numId w:val="77"/>
        </w:numPr>
        <w:autoSpaceDE w:val="0"/>
        <w:autoSpaceDN w:val="0"/>
        <w:spacing w:line="360" w:lineRule="auto"/>
        <w:ind w:left="506" w:hanging="506" w:hangingChars="210"/>
        <w:jc w:val="left"/>
        <w:outlineLvl w:val="3"/>
        <w:rPr>
          <w:rFonts w:ascii="宋体" w:hAnsi="宋体" w:cs="宋体"/>
          <w:b/>
          <w:color w:val="auto"/>
          <w:sz w:val="24"/>
          <w:highlight w:val="none"/>
        </w:rPr>
      </w:pPr>
      <w:r>
        <w:rPr>
          <w:rFonts w:hint="eastAsia" w:ascii="宋体" w:hAnsi="宋体" w:cs="宋体"/>
          <w:b/>
          <w:color w:val="auto"/>
          <w:sz w:val="24"/>
          <w:highlight w:val="none"/>
        </w:rPr>
        <w:t>采样及送样要求</w:t>
      </w:r>
    </w:p>
    <w:p>
      <w:pPr>
        <w:pStyle w:val="24"/>
        <w:numPr>
          <w:ilvl w:val="0"/>
          <w:numId w:val="82"/>
        </w:numPr>
        <w:spacing w:line="360" w:lineRule="auto"/>
        <w:ind w:left="810" w:leftChars="0" w:hanging="410" w:firstLineChars="0"/>
        <w:rPr>
          <w:rFonts w:ascii="宋体" w:hAnsi="宋体" w:cs="宋体"/>
          <w:color w:val="auto"/>
          <w:sz w:val="24"/>
          <w:highlight w:val="none"/>
        </w:rPr>
      </w:pPr>
      <w:r>
        <w:rPr>
          <w:rFonts w:hint="eastAsia" w:ascii="宋体" w:hAnsi="宋体" w:cs="宋体"/>
          <w:color w:val="auto"/>
          <w:sz w:val="24"/>
          <w:highlight w:val="none"/>
        </w:rPr>
        <w:t>乙方应根据抽检计划，安排相关人员及车辆，并提供抽样相关工具、容器，全程协助监督执法人员采样或受甲方委托独立开展采样。</w:t>
      </w:r>
    </w:p>
    <w:p>
      <w:pPr>
        <w:numPr>
          <w:ilvl w:val="0"/>
          <w:numId w:val="82"/>
        </w:numPr>
        <w:spacing w:line="360" w:lineRule="auto"/>
        <w:ind w:left="810" w:leftChars="0" w:hanging="410" w:firstLineChars="0"/>
        <w:rPr>
          <w:rFonts w:ascii="宋体" w:hAnsi="宋体" w:cs="宋体"/>
          <w:color w:val="auto"/>
          <w:sz w:val="24"/>
          <w:highlight w:val="none"/>
        </w:rPr>
      </w:pPr>
      <w:r>
        <w:rPr>
          <w:rFonts w:hint="eastAsia" w:ascii="宋体" w:hAnsi="宋体" w:cs="宋体"/>
          <w:color w:val="auto"/>
          <w:sz w:val="24"/>
          <w:highlight w:val="none"/>
        </w:rPr>
        <w:t>乙方在进行食品抽样检验时，必须依据《食品安全抽样检验管理办法》和《食品安全监督抽检和风险监测工作规范》的有关规定，并严格按照</w:t>
      </w:r>
      <w:r>
        <w:rPr>
          <w:rFonts w:hint="eastAsia" w:ascii="宋体" w:hAnsi="宋体" w:cs="宋体"/>
          <w:color w:val="auto"/>
          <w:sz w:val="24"/>
          <w:highlight w:val="none"/>
          <w:lang w:eastAsia="zh-CN"/>
        </w:rPr>
        <w:t>甲方</w:t>
      </w:r>
      <w:r>
        <w:rPr>
          <w:rFonts w:hint="eastAsia" w:ascii="宋体" w:hAnsi="宋体" w:cs="宋体"/>
          <w:color w:val="auto"/>
          <w:sz w:val="24"/>
          <w:highlight w:val="none"/>
        </w:rPr>
        <w:t>抽检监测计划规定的抽查产品类别、抽查批次和抽查时间安排等开展抽检有关工作。同时严格按照《</w:t>
      </w:r>
      <w:r>
        <w:rPr>
          <w:rFonts w:hint="eastAsia" w:ascii="宋体" w:hAnsi="宋体" w:cs="宋体"/>
          <w:color w:val="auto"/>
          <w:sz w:val="24"/>
          <w:highlight w:val="none"/>
          <w:lang w:eastAsia="zh-CN"/>
        </w:rPr>
        <w:t>中华人民共和国食品安全法</w:t>
      </w:r>
      <w:r>
        <w:rPr>
          <w:rFonts w:hint="eastAsia" w:ascii="宋体" w:hAnsi="宋体" w:cs="宋体"/>
          <w:color w:val="auto"/>
          <w:sz w:val="24"/>
          <w:highlight w:val="none"/>
        </w:rPr>
        <w:t>》的规定购买抽取的样品，不得向企业和个人收取检验费和其他任何费用，购买样品费用由检验机构承担。</w:t>
      </w:r>
    </w:p>
    <w:p>
      <w:pPr>
        <w:numPr>
          <w:ilvl w:val="0"/>
          <w:numId w:val="82"/>
        </w:numPr>
        <w:spacing w:line="360" w:lineRule="auto"/>
        <w:ind w:left="810" w:leftChars="0" w:hanging="410" w:firstLineChars="0"/>
        <w:rPr>
          <w:rFonts w:ascii="宋体" w:hAnsi="宋体" w:cs="宋体"/>
          <w:color w:val="auto"/>
          <w:sz w:val="24"/>
          <w:highlight w:val="none"/>
        </w:rPr>
      </w:pPr>
      <w:r>
        <w:rPr>
          <w:rFonts w:hint="eastAsia" w:ascii="宋体" w:hAnsi="宋体" w:cs="宋体"/>
          <w:color w:val="auto"/>
          <w:sz w:val="24"/>
          <w:highlight w:val="none"/>
        </w:rPr>
        <w:t>采样必须保证覆盖率，食品生产企业做到全覆盖，食品经营企业要按甲方提供的企业名单按比例均衡采样。</w:t>
      </w:r>
    </w:p>
    <w:p>
      <w:pPr>
        <w:pStyle w:val="5"/>
        <w:numPr>
          <w:ilvl w:val="0"/>
          <w:numId w:val="82"/>
        </w:numPr>
        <w:spacing w:line="360" w:lineRule="auto"/>
        <w:ind w:left="810" w:leftChars="0" w:hanging="410" w:firstLineChars="0"/>
        <w:rPr>
          <w:rFonts w:ascii="宋体" w:hAnsi="宋体" w:cs="宋体"/>
          <w:color w:val="auto"/>
          <w:sz w:val="24"/>
          <w:highlight w:val="none"/>
        </w:rPr>
      </w:pPr>
      <w:r>
        <w:rPr>
          <w:rFonts w:hint="eastAsia" w:ascii="宋体" w:hAnsi="宋体" w:cs="宋体"/>
          <w:color w:val="auto"/>
          <w:sz w:val="24"/>
          <w:highlight w:val="none"/>
        </w:rPr>
        <w:t>样品的采样、送检、留样必须严格按国家有关规定执行。</w:t>
      </w:r>
    </w:p>
    <w:p>
      <w:pPr>
        <w:numPr>
          <w:ilvl w:val="0"/>
          <w:numId w:val="77"/>
        </w:numPr>
        <w:autoSpaceDE w:val="0"/>
        <w:autoSpaceDN w:val="0"/>
        <w:spacing w:line="360" w:lineRule="auto"/>
        <w:ind w:left="506" w:hanging="506" w:hangingChars="210"/>
        <w:jc w:val="left"/>
        <w:outlineLvl w:val="3"/>
        <w:rPr>
          <w:rFonts w:cs="Courier New" w:asciiTheme="minorEastAsia" w:hAnsiTheme="minorEastAsia"/>
          <w:b/>
          <w:bCs/>
          <w:color w:val="auto"/>
          <w:sz w:val="24"/>
          <w:highlight w:val="none"/>
        </w:rPr>
      </w:pPr>
      <w:r>
        <w:rPr>
          <w:rFonts w:hint="eastAsia" w:ascii="宋体" w:hAnsi="宋体" w:cs="宋体"/>
          <w:b/>
          <w:color w:val="auto"/>
          <w:sz w:val="24"/>
          <w:highlight w:val="none"/>
        </w:rPr>
        <w:t>技术</w:t>
      </w:r>
      <w:r>
        <w:rPr>
          <w:rFonts w:hint="eastAsia" w:cs="Courier New" w:asciiTheme="minorEastAsia" w:hAnsiTheme="minorEastAsia"/>
          <w:b/>
          <w:bCs/>
          <w:color w:val="auto"/>
          <w:sz w:val="24"/>
          <w:highlight w:val="none"/>
        </w:rPr>
        <w:t>服务</w:t>
      </w:r>
    </w:p>
    <w:p>
      <w:pPr>
        <w:numPr>
          <w:ilvl w:val="255"/>
          <w:numId w:val="0"/>
        </w:numPr>
        <w:tabs>
          <w:tab w:val="left" w:pos="425"/>
        </w:tabs>
        <w:snapToGrid w:val="0"/>
        <w:spacing w:line="360" w:lineRule="auto"/>
        <w:ind w:left="420"/>
        <w:rPr>
          <w:rFonts w:cs="Courier New" w:asciiTheme="minorEastAsia" w:hAnsiTheme="minorEastAsia"/>
          <w:color w:val="auto"/>
          <w:sz w:val="24"/>
          <w:highlight w:val="none"/>
        </w:rPr>
      </w:pPr>
      <w:r>
        <w:rPr>
          <w:rFonts w:hint="eastAsia" w:cs="Courier New" w:asciiTheme="minorEastAsia" w:hAnsiTheme="minorEastAsia"/>
          <w:color w:val="auto"/>
          <w:sz w:val="24"/>
          <w:highlight w:val="none"/>
        </w:rPr>
        <w:t>乙方根据甲方的工作需求，提供以下技术服务：</w:t>
      </w:r>
    </w:p>
    <w:p>
      <w:pPr>
        <w:numPr>
          <w:ilvl w:val="0"/>
          <w:numId w:val="83"/>
        </w:numPr>
        <w:tabs>
          <w:tab w:val="left" w:pos="425"/>
        </w:tabs>
        <w:snapToGrid w:val="0"/>
        <w:spacing w:line="360" w:lineRule="auto"/>
        <w:ind w:left="420"/>
        <w:rPr>
          <w:rFonts w:cs="Courier New" w:asciiTheme="minorEastAsia" w:hAnsiTheme="minorEastAsia"/>
          <w:color w:val="auto"/>
          <w:sz w:val="24"/>
          <w:highlight w:val="none"/>
        </w:rPr>
      </w:pPr>
      <w:r>
        <w:rPr>
          <w:rFonts w:hint="eastAsia" w:cs="Courier New" w:asciiTheme="minorEastAsia" w:hAnsiTheme="minorEastAsia"/>
          <w:color w:val="auto"/>
          <w:sz w:val="24"/>
          <w:highlight w:val="none"/>
        </w:rPr>
        <w:t>食品安全宣传活动中的咨询、检测、宣讲等服务。</w:t>
      </w:r>
    </w:p>
    <w:p>
      <w:pPr>
        <w:numPr>
          <w:ilvl w:val="0"/>
          <w:numId w:val="83"/>
        </w:numPr>
        <w:tabs>
          <w:tab w:val="left" w:pos="425"/>
        </w:tabs>
        <w:snapToGrid w:val="0"/>
        <w:spacing w:line="360" w:lineRule="auto"/>
        <w:ind w:left="420"/>
        <w:rPr>
          <w:rFonts w:cs="Courier New" w:asciiTheme="minorEastAsia" w:hAnsiTheme="minorEastAsia"/>
          <w:color w:val="auto"/>
          <w:sz w:val="24"/>
          <w:highlight w:val="none"/>
        </w:rPr>
      </w:pPr>
      <w:r>
        <w:rPr>
          <w:rFonts w:hint="eastAsia" w:cs="Courier New" w:asciiTheme="minorEastAsia" w:hAnsiTheme="minorEastAsia"/>
          <w:color w:val="auto"/>
          <w:sz w:val="24"/>
          <w:highlight w:val="none"/>
        </w:rPr>
        <w:t>新闻发布、舆情应对、应急处置等相关工作中的技术支持。</w:t>
      </w:r>
    </w:p>
    <w:p>
      <w:pPr>
        <w:numPr>
          <w:ilvl w:val="0"/>
          <w:numId w:val="83"/>
        </w:numPr>
        <w:tabs>
          <w:tab w:val="left" w:pos="425"/>
        </w:tabs>
        <w:snapToGrid w:val="0"/>
        <w:spacing w:line="360" w:lineRule="auto"/>
        <w:ind w:left="420"/>
        <w:rPr>
          <w:rFonts w:cs="Courier New" w:asciiTheme="minorEastAsia" w:hAnsiTheme="minorEastAsia"/>
          <w:color w:val="auto"/>
          <w:sz w:val="24"/>
          <w:highlight w:val="none"/>
        </w:rPr>
      </w:pPr>
      <w:r>
        <w:rPr>
          <w:rFonts w:hint="eastAsia" w:cs="Courier New" w:asciiTheme="minorEastAsia" w:hAnsiTheme="minorEastAsia"/>
          <w:color w:val="auto"/>
          <w:sz w:val="24"/>
          <w:highlight w:val="none"/>
        </w:rPr>
        <w:t>安排专家接受咨询、参加研讨、提出建议等。</w:t>
      </w:r>
    </w:p>
    <w:p>
      <w:pPr>
        <w:numPr>
          <w:ilvl w:val="0"/>
          <w:numId w:val="83"/>
        </w:numPr>
        <w:tabs>
          <w:tab w:val="left" w:pos="425"/>
        </w:tabs>
        <w:snapToGrid w:val="0"/>
        <w:spacing w:line="360" w:lineRule="auto"/>
        <w:ind w:left="420"/>
        <w:rPr>
          <w:rFonts w:cs="Courier New" w:asciiTheme="minorEastAsia" w:hAnsiTheme="minorEastAsia"/>
          <w:color w:val="auto"/>
          <w:sz w:val="24"/>
          <w:highlight w:val="none"/>
        </w:rPr>
      </w:pPr>
      <w:r>
        <w:rPr>
          <w:rFonts w:hint="eastAsia" w:cs="Courier New" w:asciiTheme="minorEastAsia" w:hAnsiTheme="minorEastAsia"/>
          <w:color w:val="auto"/>
          <w:sz w:val="24"/>
          <w:highlight w:val="none"/>
        </w:rPr>
        <w:t>其他根据工作提出的技术服务。</w:t>
      </w:r>
    </w:p>
    <w:p>
      <w:pPr>
        <w:numPr>
          <w:ilvl w:val="0"/>
          <w:numId w:val="77"/>
        </w:numPr>
        <w:autoSpaceDE w:val="0"/>
        <w:autoSpaceDN w:val="0"/>
        <w:spacing w:line="360" w:lineRule="auto"/>
        <w:ind w:left="506" w:hanging="506" w:hangingChars="210"/>
        <w:jc w:val="left"/>
        <w:outlineLvl w:val="3"/>
        <w:rPr>
          <w:rFonts w:cs="Courier New" w:asciiTheme="minorEastAsia" w:hAnsiTheme="minorEastAsia"/>
          <w:b/>
          <w:bCs/>
          <w:color w:val="auto"/>
          <w:sz w:val="24"/>
          <w:highlight w:val="none"/>
        </w:rPr>
      </w:pPr>
      <w:r>
        <w:rPr>
          <w:rFonts w:hint="eastAsia" w:ascii="宋体" w:hAnsi="宋体" w:cs="宋体"/>
          <w:b/>
          <w:color w:val="auto"/>
          <w:sz w:val="24"/>
          <w:highlight w:val="none"/>
        </w:rPr>
        <w:t>其他</w:t>
      </w:r>
      <w:r>
        <w:rPr>
          <w:rFonts w:hint="eastAsia" w:cs="宋体" w:asciiTheme="minorEastAsia" w:hAnsiTheme="minorEastAsia"/>
          <w:b/>
          <w:bCs/>
          <w:color w:val="auto"/>
          <w:sz w:val="24"/>
          <w:highlight w:val="none"/>
        </w:rPr>
        <w:t>服务要求</w:t>
      </w:r>
    </w:p>
    <w:p>
      <w:pPr>
        <w:numPr>
          <w:ilvl w:val="0"/>
          <w:numId w:val="84"/>
        </w:numPr>
        <w:tabs>
          <w:tab w:val="left" w:pos="425"/>
        </w:tabs>
        <w:snapToGrid w:val="0"/>
        <w:spacing w:line="360" w:lineRule="auto"/>
        <w:ind w:left="420"/>
        <w:rPr>
          <w:rFonts w:cs="Courier New" w:asciiTheme="minorEastAsia" w:hAnsiTheme="minorEastAsia"/>
          <w:color w:val="auto"/>
          <w:sz w:val="24"/>
          <w:highlight w:val="none"/>
        </w:rPr>
      </w:pPr>
      <w:r>
        <w:rPr>
          <w:rFonts w:hint="eastAsia" w:ascii="宋体" w:hAnsi="宋体" w:cs="宋体"/>
          <w:color w:val="auto"/>
          <w:sz w:val="24"/>
          <w:highlight w:val="none"/>
        </w:rPr>
        <w:t>乙方</w:t>
      </w:r>
      <w:r>
        <w:rPr>
          <w:rFonts w:hint="eastAsia" w:cs="Courier New" w:asciiTheme="minorEastAsia" w:hAnsiTheme="minorEastAsia"/>
          <w:color w:val="auto"/>
          <w:sz w:val="24"/>
          <w:highlight w:val="none"/>
        </w:rPr>
        <w:t>不得将检验任务外包或分包给其他检验机构检验，一经发现，可取消承检资格并承担相应的法律责任。</w:t>
      </w:r>
    </w:p>
    <w:p>
      <w:pPr>
        <w:numPr>
          <w:ilvl w:val="0"/>
          <w:numId w:val="84"/>
        </w:numPr>
        <w:tabs>
          <w:tab w:val="left" w:pos="425"/>
        </w:tabs>
        <w:snapToGrid w:val="0"/>
        <w:spacing w:line="360" w:lineRule="auto"/>
        <w:ind w:left="420"/>
        <w:rPr>
          <w:rFonts w:cs="Courier New" w:asciiTheme="minorEastAsia" w:hAnsiTheme="minorEastAsia"/>
          <w:color w:val="auto"/>
          <w:sz w:val="24"/>
          <w:highlight w:val="none"/>
        </w:rPr>
      </w:pPr>
      <w:r>
        <w:rPr>
          <w:rFonts w:hint="eastAsia" w:cs="Courier New" w:asciiTheme="minorEastAsia" w:hAnsiTheme="minorEastAsia"/>
          <w:color w:val="auto"/>
          <w:sz w:val="24"/>
          <w:highlight w:val="none"/>
        </w:rPr>
        <w:t>所有项目各单项检验费用按粤价[2002]170号文相应单项检验费用作为该项目的单项检验费用的报价基础，如粤价[2002]170号文没有相应的项目的，参照甲方市场调查结果,以此基础上作投标下浮率报价（报价包含检验费、购样费、抽样机、分析报告等所有费用）。</w:t>
      </w:r>
    </w:p>
    <w:p>
      <w:pPr>
        <w:numPr>
          <w:ilvl w:val="0"/>
          <w:numId w:val="84"/>
        </w:numPr>
        <w:tabs>
          <w:tab w:val="left" w:pos="425"/>
        </w:tabs>
        <w:snapToGrid w:val="0"/>
        <w:spacing w:line="360" w:lineRule="auto"/>
        <w:ind w:left="420"/>
        <w:rPr>
          <w:rFonts w:cs="Courier New" w:asciiTheme="minorEastAsia" w:hAnsiTheme="minorEastAsia"/>
          <w:color w:val="auto"/>
          <w:sz w:val="24"/>
          <w:highlight w:val="none"/>
        </w:rPr>
      </w:pPr>
      <w:r>
        <w:rPr>
          <w:rFonts w:hint="eastAsia" w:cs="Courier New" w:asciiTheme="minorEastAsia" w:hAnsiTheme="minorEastAsia"/>
          <w:color w:val="auto"/>
          <w:sz w:val="24"/>
          <w:highlight w:val="none"/>
        </w:rPr>
        <w:t>乙方应当建立本次采购项目的台账，建立健全财务报告制度，按要求向甲方提供项目实施资金的使用情况、项目执行情况、成果总结等相关的材料。</w:t>
      </w:r>
    </w:p>
    <w:p>
      <w:pPr>
        <w:numPr>
          <w:ilvl w:val="0"/>
          <w:numId w:val="84"/>
        </w:numPr>
        <w:tabs>
          <w:tab w:val="left" w:pos="425"/>
        </w:tabs>
        <w:snapToGrid w:val="0"/>
        <w:spacing w:line="360" w:lineRule="auto"/>
        <w:ind w:left="420"/>
        <w:rPr>
          <w:rFonts w:cs="Courier New" w:asciiTheme="minorEastAsia" w:hAnsiTheme="minorEastAsia"/>
          <w:color w:val="auto"/>
          <w:sz w:val="24"/>
          <w:highlight w:val="none"/>
        </w:rPr>
      </w:pPr>
      <w:r>
        <w:rPr>
          <w:rFonts w:hint="eastAsia" w:cs="Courier New" w:asciiTheme="minorEastAsia" w:hAnsiTheme="minorEastAsia"/>
          <w:color w:val="auto"/>
          <w:sz w:val="24"/>
          <w:highlight w:val="none"/>
        </w:rPr>
        <w:t>乙方应当严格遵守相关财务规定，规范管理和使用本次政府购买服务项目资金。</w:t>
      </w:r>
    </w:p>
    <w:p>
      <w:pPr>
        <w:numPr>
          <w:ilvl w:val="0"/>
          <w:numId w:val="84"/>
        </w:numPr>
        <w:tabs>
          <w:tab w:val="left" w:pos="425"/>
        </w:tabs>
        <w:snapToGrid w:val="0"/>
        <w:spacing w:line="360" w:lineRule="auto"/>
        <w:ind w:left="420"/>
        <w:rPr>
          <w:rFonts w:ascii="宋体" w:hAnsi="宋体"/>
          <w:color w:val="auto"/>
          <w:sz w:val="24"/>
          <w:highlight w:val="none"/>
        </w:rPr>
      </w:pPr>
      <w:r>
        <w:rPr>
          <w:rFonts w:hint="eastAsia" w:cs="Courier New" w:asciiTheme="minorEastAsia" w:hAnsiTheme="minorEastAsia"/>
          <w:color w:val="auto"/>
          <w:sz w:val="24"/>
          <w:highlight w:val="none"/>
        </w:rPr>
        <w:t>乙方应当积极</w:t>
      </w:r>
      <w:r>
        <w:rPr>
          <w:rFonts w:hint="eastAsia" w:ascii="宋体" w:hAnsi="宋体"/>
          <w:color w:val="auto"/>
          <w:sz w:val="24"/>
          <w:highlight w:val="none"/>
        </w:rPr>
        <w:t>配合相关部门对资金使用情况进行监督检查与绩效评价。</w:t>
      </w:r>
    </w:p>
    <w:p>
      <w:pPr>
        <w:numPr>
          <w:ilvl w:val="0"/>
          <w:numId w:val="77"/>
        </w:numPr>
        <w:autoSpaceDE w:val="0"/>
        <w:autoSpaceDN w:val="0"/>
        <w:spacing w:line="360" w:lineRule="auto"/>
        <w:ind w:left="506" w:hanging="506" w:hangingChars="210"/>
        <w:jc w:val="left"/>
        <w:outlineLvl w:val="3"/>
        <w:rPr>
          <w:rFonts w:ascii="宋体" w:hAnsi="宋体"/>
          <w:b/>
          <w:color w:val="auto"/>
          <w:sz w:val="24"/>
          <w:highlight w:val="none"/>
        </w:rPr>
      </w:pPr>
      <w:r>
        <w:rPr>
          <w:rFonts w:hint="eastAsia" w:ascii="宋体" w:hAnsi="宋体"/>
          <w:b/>
          <w:color w:val="auto"/>
          <w:sz w:val="24"/>
          <w:highlight w:val="none"/>
        </w:rPr>
        <w:t>甲方乙方的权利和义务</w:t>
      </w:r>
      <w:bookmarkEnd w:id="46"/>
    </w:p>
    <w:p>
      <w:pPr>
        <w:pStyle w:val="24"/>
        <w:numPr>
          <w:ilvl w:val="0"/>
          <w:numId w:val="85"/>
        </w:numPr>
        <w:spacing w:line="360" w:lineRule="auto"/>
        <w:ind w:firstLine="6" w:firstLineChars="0"/>
        <w:rPr>
          <w:rFonts w:ascii="Arial" w:hAnsi="Arial" w:cs="Arial"/>
          <w:color w:val="auto"/>
          <w:sz w:val="24"/>
          <w:highlight w:val="none"/>
        </w:rPr>
      </w:pPr>
      <w:r>
        <w:rPr>
          <w:rFonts w:hint="eastAsia" w:ascii="Arial" w:hAnsi="Arial" w:cs="Arial"/>
          <w:color w:val="auto"/>
          <w:sz w:val="24"/>
          <w:highlight w:val="none"/>
        </w:rPr>
        <w:t>甲方的权利和义务</w:t>
      </w:r>
    </w:p>
    <w:p>
      <w:pPr>
        <w:pStyle w:val="24"/>
        <w:numPr>
          <w:ilvl w:val="0"/>
          <w:numId w:val="85"/>
        </w:numPr>
        <w:spacing w:line="360" w:lineRule="auto"/>
        <w:ind w:firstLine="6" w:firstLineChars="0"/>
        <w:rPr>
          <w:rFonts w:ascii="Arial" w:hAnsi="Arial" w:cs="Arial"/>
          <w:color w:val="auto"/>
          <w:sz w:val="24"/>
          <w:highlight w:val="none"/>
        </w:rPr>
      </w:pPr>
      <w:r>
        <w:rPr>
          <w:rFonts w:hint="eastAsia" w:ascii="Arial" w:hAnsi="Arial" w:cs="Arial"/>
          <w:color w:val="auto"/>
          <w:sz w:val="24"/>
          <w:highlight w:val="none"/>
        </w:rPr>
        <w:t>乙方的权利和义务</w:t>
      </w:r>
    </w:p>
    <w:p>
      <w:pPr>
        <w:numPr>
          <w:ilvl w:val="0"/>
          <w:numId w:val="77"/>
        </w:numPr>
        <w:autoSpaceDE w:val="0"/>
        <w:autoSpaceDN w:val="0"/>
        <w:spacing w:line="360" w:lineRule="auto"/>
        <w:ind w:left="506" w:hanging="506" w:hangingChars="210"/>
        <w:jc w:val="left"/>
        <w:outlineLvl w:val="3"/>
        <w:rPr>
          <w:rFonts w:ascii="宋体" w:hAnsi="宋体"/>
          <w:color w:val="auto"/>
          <w:sz w:val="24"/>
          <w:highlight w:val="none"/>
        </w:rPr>
      </w:pPr>
      <w:r>
        <w:rPr>
          <w:rFonts w:hint="eastAsia" w:ascii="宋体" w:hAnsi="宋体"/>
          <w:b/>
          <w:color w:val="auto"/>
          <w:sz w:val="24"/>
          <w:highlight w:val="none"/>
        </w:rPr>
        <w:t>履行期限及地点：</w:t>
      </w:r>
      <w:r>
        <w:rPr>
          <w:rFonts w:hint="eastAsia" w:ascii="宋体" w:hAnsi="宋体"/>
          <w:color w:val="auto"/>
          <w:sz w:val="24"/>
          <w:highlight w:val="none"/>
        </w:rPr>
        <w:t>详见本招标文件采购需求</w:t>
      </w:r>
    </w:p>
    <w:p>
      <w:pPr>
        <w:numPr>
          <w:ilvl w:val="0"/>
          <w:numId w:val="77"/>
        </w:numPr>
        <w:autoSpaceDE w:val="0"/>
        <w:autoSpaceDN w:val="0"/>
        <w:spacing w:line="360" w:lineRule="auto"/>
        <w:ind w:left="506" w:hanging="506" w:hangingChars="210"/>
        <w:jc w:val="left"/>
        <w:outlineLvl w:val="3"/>
        <w:rPr>
          <w:rFonts w:ascii="宋体" w:hAnsi="宋体"/>
          <w:color w:val="auto"/>
          <w:sz w:val="24"/>
          <w:highlight w:val="none"/>
        </w:rPr>
      </w:pPr>
      <w:bookmarkStart w:id="47" w:name="_Toc435540763"/>
      <w:r>
        <w:rPr>
          <w:rFonts w:hint="eastAsia" w:ascii="宋体" w:hAnsi="宋体"/>
          <w:b/>
          <w:color w:val="auto"/>
          <w:sz w:val="24"/>
          <w:highlight w:val="none"/>
        </w:rPr>
        <w:t>付款方式</w:t>
      </w:r>
      <w:bookmarkEnd w:id="47"/>
      <w:r>
        <w:rPr>
          <w:rFonts w:hint="eastAsia" w:ascii="宋体" w:hAnsi="宋体"/>
          <w:b/>
          <w:color w:val="auto"/>
          <w:sz w:val="24"/>
          <w:highlight w:val="none"/>
        </w:rPr>
        <w:t>：</w:t>
      </w:r>
      <w:r>
        <w:rPr>
          <w:rFonts w:hint="eastAsia" w:ascii="宋体" w:hAnsi="宋体"/>
          <w:color w:val="auto"/>
          <w:sz w:val="24"/>
          <w:highlight w:val="none"/>
        </w:rPr>
        <w:t>详见本招标文件</w:t>
      </w:r>
      <w:r>
        <w:rPr>
          <w:rFonts w:hint="eastAsia" w:ascii="宋体" w:hAnsi="宋体" w:cs="宋体"/>
          <w:color w:val="auto"/>
          <w:sz w:val="24"/>
          <w:highlight w:val="none"/>
        </w:rPr>
        <w:t>采购需求</w:t>
      </w:r>
      <w:bookmarkStart w:id="48" w:name="_Toc435540764"/>
    </w:p>
    <w:p>
      <w:pPr>
        <w:numPr>
          <w:ilvl w:val="0"/>
          <w:numId w:val="77"/>
        </w:numPr>
        <w:autoSpaceDE w:val="0"/>
        <w:autoSpaceDN w:val="0"/>
        <w:spacing w:line="360" w:lineRule="auto"/>
        <w:ind w:left="506" w:hanging="506" w:hangingChars="210"/>
        <w:jc w:val="left"/>
        <w:outlineLvl w:val="3"/>
        <w:rPr>
          <w:rFonts w:ascii="宋体" w:hAnsi="宋体"/>
          <w:b/>
          <w:color w:val="auto"/>
          <w:sz w:val="24"/>
          <w:highlight w:val="none"/>
        </w:rPr>
      </w:pPr>
      <w:r>
        <w:rPr>
          <w:rFonts w:hint="eastAsia" w:ascii="宋体" w:hAnsi="宋体"/>
          <w:b/>
          <w:color w:val="auto"/>
          <w:sz w:val="24"/>
          <w:highlight w:val="none"/>
        </w:rPr>
        <w:t>知识产权归属</w:t>
      </w:r>
      <w:bookmarkEnd w:id="48"/>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numPr>
          <w:ilvl w:val="0"/>
          <w:numId w:val="77"/>
        </w:numPr>
        <w:autoSpaceDE w:val="0"/>
        <w:autoSpaceDN w:val="0"/>
        <w:spacing w:line="360" w:lineRule="auto"/>
        <w:ind w:left="506" w:hanging="506" w:hangingChars="210"/>
        <w:jc w:val="left"/>
        <w:outlineLvl w:val="3"/>
        <w:rPr>
          <w:rFonts w:ascii="宋体" w:hAnsi="宋体"/>
          <w:b/>
          <w:color w:val="auto"/>
          <w:sz w:val="24"/>
          <w:highlight w:val="none"/>
        </w:rPr>
      </w:pPr>
      <w:bookmarkStart w:id="49" w:name="_Toc435540765"/>
      <w:r>
        <w:rPr>
          <w:rFonts w:hint="eastAsia" w:ascii="宋体" w:hAnsi="宋体"/>
          <w:b/>
          <w:color w:val="auto"/>
          <w:sz w:val="24"/>
          <w:highlight w:val="none"/>
        </w:rPr>
        <w:t>保密</w:t>
      </w:r>
      <w:bookmarkEnd w:id="49"/>
    </w:p>
    <w:p>
      <w:pPr>
        <w:pStyle w:val="24"/>
        <w:numPr>
          <w:ilvl w:val="0"/>
          <w:numId w:val="86"/>
        </w:numPr>
        <w:tabs>
          <w:tab w:val="left" w:pos="284"/>
          <w:tab w:val="left" w:pos="567"/>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24"/>
        <w:numPr>
          <w:ilvl w:val="0"/>
          <w:numId w:val="86"/>
        </w:numPr>
        <w:tabs>
          <w:tab w:val="left" w:pos="284"/>
          <w:tab w:val="left" w:pos="567"/>
        </w:tabs>
        <w:spacing w:line="360" w:lineRule="auto"/>
        <w:ind w:left="567" w:hanging="567" w:firstLineChars="0"/>
        <w:rPr>
          <w:rFonts w:ascii="宋体" w:hAnsi="宋体" w:cs="宋体"/>
          <w:color w:val="auto"/>
          <w:sz w:val="24"/>
          <w:highlight w:val="none"/>
        </w:rPr>
      </w:pPr>
      <w:r>
        <w:rPr>
          <w:rFonts w:hint="eastAsia" w:ascii="宋体" w:hAnsi="宋体"/>
          <w:color w:val="auto"/>
          <w:sz w:val="24"/>
          <w:highlight w:val="none"/>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24"/>
        <w:numPr>
          <w:ilvl w:val="0"/>
          <w:numId w:val="86"/>
        </w:numPr>
        <w:tabs>
          <w:tab w:val="left" w:pos="284"/>
          <w:tab w:val="left" w:pos="567"/>
        </w:tabs>
        <w:spacing w:line="360" w:lineRule="auto"/>
        <w:ind w:left="567" w:hanging="567" w:firstLineChars="0"/>
        <w:rPr>
          <w:rFonts w:ascii="宋体" w:hAnsi="宋体" w:cs="宋体"/>
          <w:color w:val="auto"/>
          <w:sz w:val="24"/>
          <w:highlight w:val="none"/>
        </w:rPr>
      </w:pPr>
      <w:r>
        <w:rPr>
          <w:rFonts w:hint="eastAsia" w:ascii="宋体" w:hAnsi="宋体"/>
          <w:color w:val="auto"/>
          <w:sz w:val="24"/>
          <w:highlight w:val="none"/>
        </w:rPr>
        <w:t>除了合同本身之外，上款所列举的任何物件均是甲方的财产。如果甲方有要求，乙方在完成合同后应将这些物件及全部复制件还给甲方。</w:t>
      </w:r>
    </w:p>
    <w:p>
      <w:pPr>
        <w:numPr>
          <w:ilvl w:val="0"/>
          <w:numId w:val="77"/>
        </w:numPr>
        <w:autoSpaceDE w:val="0"/>
        <w:autoSpaceDN w:val="0"/>
        <w:spacing w:line="360" w:lineRule="auto"/>
        <w:ind w:left="506" w:hanging="506" w:hangingChars="210"/>
        <w:jc w:val="left"/>
        <w:outlineLvl w:val="3"/>
        <w:rPr>
          <w:rFonts w:ascii="宋体" w:hAnsi="宋体"/>
          <w:b/>
          <w:color w:val="auto"/>
          <w:sz w:val="24"/>
          <w:highlight w:val="none"/>
        </w:rPr>
      </w:pPr>
      <w:bookmarkStart w:id="50" w:name="_Toc435540766"/>
      <w:r>
        <w:rPr>
          <w:rFonts w:hint="eastAsia" w:ascii="宋体" w:hAnsi="宋体"/>
          <w:b/>
          <w:color w:val="auto"/>
          <w:sz w:val="24"/>
          <w:highlight w:val="none"/>
        </w:rPr>
        <w:t>违约责任与赔偿损失</w:t>
      </w:r>
      <w:bookmarkEnd w:id="50"/>
    </w:p>
    <w:p>
      <w:pPr>
        <w:pStyle w:val="24"/>
        <w:numPr>
          <w:ilvl w:val="0"/>
          <w:numId w:val="87"/>
        </w:numPr>
        <w:tabs>
          <w:tab w:val="left" w:pos="567"/>
        </w:tabs>
        <w:spacing w:line="360" w:lineRule="auto"/>
        <w:ind w:left="567" w:hanging="567" w:firstLineChars="0"/>
        <w:rPr>
          <w:rFonts w:ascii="宋体" w:hAnsi="宋体"/>
          <w:color w:val="auto"/>
          <w:sz w:val="24"/>
          <w:highlight w:val="none"/>
        </w:rPr>
      </w:pPr>
      <w:r>
        <w:rPr>
          <w:rFonts w:hint="eastAsia" w:ascii="宋体" w:hAnsi="宋体"/>
          <w:color w:val="auto"/>
          <w:sz w:val="24"/>
          <w:highlight w:val="none"/>
        </w:rPr>
        <w:t>乙方提供的服务不符合采购文件、投标文件或本合同规定的，甲方有权拒收，并且乙方须向甲方支付本合同</w:t>
      </w:r>
      <w:r>
        <w:rPr>
          <w:rFonts w:hint="eastAsia" w:ascii="宋体" w:hAnsi="宋体"/>
          <w:color w:val="auto"/>
          <w:sz w:val="24"/>
          <w:highlight w:val="none"/>
          <w:lang w:eastAsia="zh-CN"/>
        </w:rPr>
        <w:t>合同签订金额</w:t>
      </w:r>
      <w:r>
        <w:rPr>
          <w:rFonts w:hint="eastAsia" w:ascii="宋体" w:hAnsi="宋体"/>
          <w:color w:val="auto"/>
          <w:sz w:val="24"/>
          <w:highlight w:val="none"/>
        </w:rPr>
        <w:t>5%的违约金。</w:t>
      </w:r>
    </w:p>
    <w:p>
      <w:pPr>
        <w:pStyle w:val="24"/>
        <w:numPr>
          <w:ilvl w:val="0"/>
          <w:numId w:val="87"/>
        </w:numPr>
        <w:tabs>
          <w:tab w:val="left" w:pos="567"/>
          <w:tab w:val="left" w:pos="720"/>
        </w:tabs>
        <w:spacing w:line="360" w:lineRule="auto"/>
        <w:ind w:left="567" w:right="51" w:hanging="567" w:firstLineChars="0"/>
        <w:rPr>
          <w:rFonts w:ascii="宋体" w:hAnsi="宋体"/>
          <w:color w:val="auto"/>
          <w:sz w:val="24"/>
          <w:highlight w:val="none"/>
        </w:rPr>
      </w:pPr>
      <w:r>
        <w:rPr>
          <w:rFonts w:hint="eastAsia" w:ascii="宋体" w:hAnsi="宋体"/>
          <w:color w:val="auto"/>
          <w:sz w:val="24"/>
          <w:highlight w:val="none"/>
        </w:rPr>
        <w:t>乙方未能按本合同规定的交货时间交付货物的/提供服务，从逾期之日起每日按</w:t>
      </w:r>
      <w:r>
        <w:rPr>
          <w:rFonts w:hint="eastAsia" w:ascii="宋体" w:hAnsi="宋体"/>
          <w:color w:val="auto"/>
          <w:sz w:val="24"/>
          <w:highlight w:val="none"/>
          <w:lang w:eastAsia="zh-CN"/>
        </w:rPr>
        <w:t>项目签订金额</w:t>
      </w:r>
      <w:r>
        <w:rPr>
          <w:rFonts w:hint="eastAsia" w:ascii="宋体" w:hAnsi="宋体"/>
          <w:color w:val="auto"/>
          <w:sz w:val="24"/>
          <w:highlight w:val="none"/>
          <w:u w:val="single"/>
        </w:rPr>
        <w:t>3‰</w:t>
      </w:r>
      <w:r>
        <w:rPr>
          <w:rFonts w:hint="eastAsia" w:ascii="宋体" w:hAnsi="宋体"/>
          <w:color w:val="auto"/>
          <w:sz w:val="24"/>
          <w:highlight w:val="none"/>
        </w:rPr>
        <w:t>的数额向甲方支付违约金；逾期15天以上（含15天）的，甲方有权终止合同，要求乙方支付违约金，并且给甲方造成的经济损失由乙方承担赔偿责任。</w:t>
      </w:r>
    </w:p>
    <w:p>
      <w:pPr>
        <w:pStyle w:val="24"/>
        <w:numPr>
          <w:ilvl w:val="0"/>
          <w:numId w:val="87"/>
        </w:numPr>
        <w:tabs>
          <w:tab w:val="left" w:pos="567"/>
        </w:tabs>
        <w:spacing w:line="360" w:lineRule="auto"/>
        <w:ind w:left="567" w:hanging="567" w:firstLineChars="0"/>
        <w:rPr>
          <w:rFonts w:ascii="宋体" w:hAnsi="宋体"/>
          <w:color w:val="auto"/>
          <w:sz w:val="24"/>
          <w:highlight w:val="none"/>
        </w:rPr>
      </w:pPr>
      <w:r>
        <w:rPr>
          <w:rFonts w:hint="eastAsia" w:ascii="宋体" w:hAnsi="宋体"/>
          <w:color w:val="auto"/>
          <w:sz w:val="24"/>
          <w:highlight w:val="none"/>
        </w:rPr>
        <w:t>甲方无正当理由拒收接受服务，到期拒付服务款项的，甲方向乙方偿付本合同</w:t>
      </w:r>
      <w:r>
        <w:rPr>
          <w:rFonts w:hint="eastAsia" w:ascii="宋体" w:hAnsi="宋体"/>
          <w:color w:val="auto"/>
          <w:sz w:val="24"/>
          <w:highlight w:val="none"/>
          <w:lang w:eastAsia="zh-CN"/>
        </w:rPr>
        <w:t>签订金额</w:t>
      </w:r>
      <w:r>
        <w:rPr>
          <w:rFonts w:hint="eastAsia" w:ascii="宋体" w:hAnsi="宋体"/>
          <w:color w:val="auto"/>
          <w:sz w:val="24"/>
          <w:highlight w:val="none"/>
        </w:rPr>
        <w:t>5%的违约金。甲方逾期付款，则每日按</w:t>
      </w:r>
      <w:r>
        <w:rPr>
          <w:rFonts w:hint="eastAsia" w:ascii="宋体" w:hAnsi="宋体"/>
          <w:color w:val="auto"/>
          <w:sz w:val="24"/>
          <w:highlight w:val="none"/>
          <w:lang w:val="en-US" w:eastAsia="zh-CN"/>
        </w:rPr>
        <w:t>合同</w:t>
      </w:r>
      <w:r>
        <w:rPr>
          <w:rFonts w:hint="eastAsia" w:ascii="宋体" w:hAnsi="宋体"/>
          <w:color w:val="auto"/>
          <w:sz w:val="24"/>
          <w:highlight w:val="none"/>
          <w:lang w:eastAsia="zh-CN"/>
        </w:rPr>
        <w:t>签订金额</w:t>
      </w:r>
      <w:r>
        <w:rPr>
          <w:rFonts w:hint="eastAsia" w:ascii="宋体" w:hAnsi="宋体"/>
          <w:color w:val="auto"/>
          <w:sz w:val="24"/>
          <w:highlight w:val="none"/>
        </w:rPr>
        <w:t>的</w:t>
      </w:r>
      <w:r>
        <w:rPr>
          <w:rFonts w:hint="eastAsia" w:ascii="宋体" w:hAnsi="宋体"/>
          <w:color w:val="auto"/>
          <w:sz w:val="24"/>
          <w:highlight w:val="none"/>
          <w:u w:val="single"/>
          <w:lang w:val="en-US" w:eastAsia="zh-CN"/>
        </w:rPr>
        <w:t>1</w:t>
      </w:r>
      <w:r>
        <w:rPr>
          <w:rFonts w:hint="eastAsia" w:ascii="宋体" w:hAnsi="宋体"/>
          <w:color w:val="auto"/>
          <w:sz w:val="24"/>
          <w:highlight w:val="none"/>
          <w:u w:val="single"/>
        </w:rPr>
        <w:t>‰</w:t>
      </w:r>
      <w:r>
        <w:rPr>
          <w:rFonts w:hint="eastAsia" w:ascii="宋体" w:hAnsi="宋体"/>
          <w:color w:val="auto"/>
          <w:sz w:val="24"/>
          <w:highlight w:val="none"/>
        </w:rPr>
        <w:t>向乙方偿付违约金。</w:t>
      </w:r>
    </w:p>
    <w:p>
      <w:pPr>
        <w:pStyle w:val="24"/>
        <w:numPr>
          <w:ilvl w:val="0"/>
          <w:numId w:val="87"/>
        </w:numPr>
        <w:tabs>
          <w:tab w:val="left" w:pos="567"/>
        </w:tabs>
        <w:spacing w:line="360" w:lineRule="auto"/>
        <w:ind w:left="567" w:hanging="567" w:firstLineChars="0"/>
        <w:rPr>
          <w:rFonts w:ascii="宋体" w:hAnsi="宋体"/>
          <w:bCs/>
          <w:color w:val="auto"/>
          <w:sz w:val="24"/>
          <w:highlight w:val="none"/>
        </w:rPr>
      </w:pPr>
      <w:r>
        <w:rPr>
          <w:rFonts w:hint="eastAsia" w:ascii="宋体" w:hAnsi="宋体"/>
          <w:bCs/>
          <w:color w:val="auto"/>
          <w:sz w:val="24"/>
          <w:highlight w:val="none"/>
        </w:rPr>
        <w:t>其它违约责任按《中华人民共和国合同法》处理。</w:t>
      </w:r>
    </w:p>
    <w:p>
      <w:pPr>
        <w:numPr>
          <w:ilvl w:val="0"/>
          <w:numId w:val="77"/>
        </w:numPr>
        <w:autoSpaceDE w:val="0"/>
        <w:autoSpaceDN w:val="0"/>
        <w:spacing w:line="360" w:lineRule="auto"/>
        <w:ind w:left="506" w:hanging="506" w:hangingChars="210"/>
        <w:jc w:val="left"/>
        <w:outlineLvl w:val="3"/>
        <w:rPr>
          <w:rFonts w:ascii="宋体" w:hAnsi="宋体"/>
          <w:b/>
          <w:color w:val="auto"/>
          <w:sz w:val="24"/>
          <w:highlight w:val="none"/>
        </w:rPr>
      </w:pPr>
      <w:bookmarkStart w:id="51" w:name="_Toc435540767"/>
      <w:r>
        <w:rPr>
          <w:rFonts w:hint="eastAsia" w:ascii="宋体" w:hAnsi="宋体"/>
          <w:b/>
          <w:color w:val="auto"/>
          <w:sz w:val="24"/>
          <w:highlight w:val="none"/>
        </w:rPr>
        <w:t>争端的解决</w:t>
      </w:r>
      <w:bookmarkEnd w:id="51"/>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合同执行过程中发生的任何争议，如双方不能通过友好协商解决，甲、乙双方一致同意向甲方所在地人民法院提起诉讼。</w:t>
      </w:r>
    </w:p>
    <w:p>
      <w:pPr>
        <w:numPr>
          <w:ilvl w:val="0"/>
          <w:numId w:val="77"/>
        </w:numPr>
        <w:autoSpaceDE w:val="0"/>
        <w:autoSpaceDN w:val="0"/>
        <w:spacing w:line="360" w:lineRule="auto"/>
        <w:ind w:left="506" w:hanging="506" w:hangingChars="210"/>
        <w:jc w:val="left"/>
        <w:outlineLvl w:val="3"/>
        <w:rPr>
          <w:rFonts w:ascii="宋体" w:hAnsi="宋体"/>
          <w:b/>
          <w:color w:val="auto"/>
          <w:sz w:val="24"/>
          <w:highlight w:val="none"/>
        </w:rPr>
      </w:pPr>
      <w:bookmarkStart w:id="52" w:name="_Toc435540768"/>
      <w:r>
        <w:rPr>
          <w:rFonts w:hint="eastAsia" w:ascii="宋体" w:hAnsi="宋体"/>
          <w:b/>
          <w:color w:val="auto"/>
          <w:sz w:val="24"/>
          <w:highlight w:val="none"/>
        </w:rPr>
        <w:t>不可抗力</w:t>
      </w:r>
      <w:bookmarkEnd w:id="52"/>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numPr>
          <w:ilvl w:val="0"/>
          <w:numId w:val="77"/>
        </w:numPr>
        <w:autoSpaceDE w:val="0"/>
        <w:autoSpaceDN w:val="0"/>
        <w:spacing w:line="360" w:lineRule="auto"/>
        <w:ind w:left="506" w:hanging="506" w:hangingChars="210"/>
        <w:jc w:val="left"/>
        <w:outlineLvl w:val="3"/>
        <w:rPr>
          <w:rFonts w:ascii="宋体" w:hAnsi="宋体"/>
          <w:b/>
          <w:color w:val="auto"/>
          <w:sz w:val="24"/>
          <w:highlight w:val="none"/>
        </w:rPr>
      </w:pPr>
      <w:bookmarkStart w:id="53" w:name="_Toc435540769"/>
      <w:r>
        <w:rPr>
          <w:rFonts w:hint="eastAsia" w:ascii="宋体" w:hAnsi="宋体"/>
          <w:b/>
          <w:color w:val="auto"/>
          <w:sz w:val="24"/>
          <w:highlight w:val="none"/>
        </w:rPr>
        <w:t>税费</w:t>
      </w:r>
      <w:bookmarkEnd w:id="53"/>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在中国境内、外发生的与本合同执行有关的一切税费均由乙方负担。</w:t>
      </w:r>
    </w:p>
    <w:p>
      <w:pPr>
        <w:numPr>
          <w:ilvl w:val="0"/>
          <w:numId w:val="77"/>
        </w:numPr>
        <w:autoSpaceDE w:val="0"/>
        <w:autoSpaceDN w:val="0"/>
        <w:spacing w:line="360" w:lineRule="auto"/>
        <w:ind w:left="506" w:hanging="506" w:hangingChars="210"/>
        <w:jc w:val="left"/>
        <w:outlineLvl w:val="3"/>
        <w:rPr>
          <w:rFonts w:ascii="宋体" w:hAnsi="宋体"/>
          <w:b/>
          <w:color w:val="auto"/>
          <w:sz w:val="24"/>
          <w:highlight w:val="none"/>
        </w:rPr>
      </w:pPr>
      <w:bookmarkStart w:id="54" w:name="_Toc435540770"/>
      <w:r>
        <w:rPr>
          <w:rFonts w:hint="eastAsia" w:ascii="宋体" w:hAnsi="宋体"/>
          <w:b/>
          <w:color w:val="auto"/>
          <w:sz w:val="24"/>
          <w:highlight w:val="none"/>
        </w:rPr>
        <w:t>其它</w:t>
      </w:r>
      <w:bookmarkEnd w:id="54"/>
    </w:p>
    <w:p>
      <w:pPr>
        <w:pStyle w:val="24"/>
        <w:numPr>
          <w:ilvl w:val="0"/>
          <w:numId w:val="88"/>
        </w:numPr>
        <w:tabs>
          <w:tab w:val="left" w:pos="567"/>
        </w:tabs>
        <w:spacing w:line="360" w:lineRule="auto"/>
        <w:ind w:left="567" w:hanging="567" w:firstLineChars="0"/>
        <w:rPr>
          <w:rFonts w:ascii="宋体" w:hAnsi="宋体"/>
          <w:b/>
          <w:color w:val="auto"/>
          <w:sz w:val="24"/>
          <w:highlight w:val="none"/>
        </w:rPr>
      </w:pPr>
      <w:r>
        <w:rPr>
          <w:rFonts w:hint="eastAsia" w:ascii="宋体" w:hAnsi="宋体"/>
          <w:color w:val="auto"/>
          <w:sz w:val="24"/>
          <w:highlight w:val="none"/>
        </w:rPr>
        <w:t>本合同所有附件、招标文件、投标文件、中标通知书均为合同的有效组成部分，与本合同具有同等法律效力。</w:t>
      </w:r>
    </w:p>
    <w:p>
      <w:pPr>
        <w:pStyle w:val="24"/>
        <w:numPr>
          <w:ilvl w:val="0"/>
          <w:numId w:val="88"/>
        </w:numPr>
        <w:tabs>
          <w:tab w:val="left" w:pos="567"/>
        </w:tabs>
        <w:spacing w:line="360" w:lineRule="auto"/>
        <w:ind w:left="567" w:hanging="567" w:firstLineChars="0"/>
        <w:rPr>
          <w:rFonts w:ascii="宋体" w:hAnsi="宋体"/>
          <w:color w:val="auto"/>
          <w:sz w:val="24"/>
          <w:highlight w:val="none"/>
        </w:rPr>
      </w:pPr>
      <w:r>
        <w:rPr>
          <w:rFonts w:hint="eastAsia" w:ascii="宋体" w:hAnsi="宋体"/>
          <w:color w:val="auto"/>
          <w:sz w:val="24"/>
          <w:highlight w:val="none"/>
        </w:rPr>
        <w:t>在执行本合同的过程中，所有经双方签署确认的文件（包括会议纪要、补充协议、往来信函）即成为本合同的有效组成部分。</w:t>
      </w:r>
    </w:p>
    <w:p>
      <w:pPr>
        <w:pStyle w:val="24"/>
        <w:numPr>
          <w:ilvl w:val="0"/>
          <w:numId w:val="88"/>
        </w:numPr>
        <w:tabs>
          <w:tab w:val="left" w:pos="567"/>
        </w:tabs>
        <w:spacing w:line="360" w:lineRule="auto"/>
        <w:ind w:left="567" w:hanging="567" w:firstLineChars="0"/>
        <w:rPr>
          <w:rFonts w:ascii="宋体" w:hAnsi="宋体"/>
          <w:color w:val="auto"/>
          <w:sz w:val="24"/>
          <w:highlight w:val="none"/>
        </w:rPr>
      </w:pPr>
      <w:r>
        <w:rPr>
          <w:rFonts w:hint="eastAsia" w:ascii="宋体" w:hAnsi="宋体"/>
          <w:color w:val="auto"/>
          <w:sz w:val="24"/>
          <w:highlight w:val="none"/>
        </w:rPr>
        <w:t xml:space="preserve">如一方地址、电话、传真号码有变更，应在变更当日内书面通知对方，否则，应承担相应责任。 </w:t>
      </w:r>
    </w:p>
    <w:p>
      <w:pPr>
        <w:pStyle w:val="24"/>
        <w:numPr>
          <w:ilvl w:val="0"/>
          <w:numId w:val="88"/>
        </w:numPr>
        <w:tabs>
          <w:tab w:val="left" w:pos="567"/>
        </w:tabs>
        <w:spacing w:line="360" w:lineRule="auto"/>
        <w:ind w:left="567" w:hanging="567" w:firstLineChars="0"/>
        <w:rPr>
          <w:rFonts w:ascii="宋体" w:hAnsi="宋体"/>
          <w:color w:val="auto"/>
          <w:sz w:val="24"/>
          <w:highlight w:val="none"/>
        </w:rPr>
      </w:pPr>
      <w:r>
        <w:rPr>
          <w:rFonts w:hint="eastAsia" w:ascii="宋体" w:hAnsi="宋体"/>
          <w:color w:val="auto"/>
          <w:sz w:val="24"/>
          <w:highlight w:val="none"/>
        </w:rPr>
        <w:t>除甲方事先书面同意外，乙方不得部分或全部转让其应履行的合同项下的义务。</w:t>
      </w:r>
    </w:p>
    <w:p>
      <w:pPr>
        <w:numPr>
          <w:ilvl w:val="0"/>
          <w:numId w:val="77"/>
        </w:numPr>
        <w:autoSpaceDE w:val="0"/>
        <w:autoSpaceDN w:val="0"/>
        <w:spacing w:line="360" w:lineRule="auto"/>
        <w:ind w:left="506" w:hanging="506" w:hangingChars="210"/>
        <w:jc w:val="left"/>
        <w:outlineLvl w:val="3"/>
        <w:rPr>
          <w:rFonts w:ascii="宋体" w:hAnsi="宋体"/>
          <w:b/>
          <w:color w:val="auto"/>
          <w:sz w:val="24"/>
          <w:highlight w:val="none"/>
        </w:rPr>
      </w:pPr>
      <w:bookmarkStart w:id="55" w:name="_Toc435540771"/>
      <w:r>
        <w:rPr>
          <w:rFonts w:hint="eastAsia" w:ascii="宋体" w:hAnsi="宋体"/>
          <w:b/>
          <w:color w:val="auto"/>
          <w:sz w:val="24"/>
          <w:highlight w:val="none"/>
        </w:rPr>
        <w:t>合同生效</w:t>
      </w:r>
      <w:bookmarkEnd w:id="55"/>
    </w:p>
    <w:p>
      <w:pPr>
        <w:pStyle w:val="24"/>
        <w:numPr>
          <w:ilvl w:val="0"/>
          <w:numId w:val="89"/>
        </w:numPr>
        <w:tabs>
          <w:tab w:val="left" w:pos="567"/>
        </w:tabs>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合同自甲乙双方法人代表或其授权代表签字盖章之日起生效。</w:t>
      </w:r>
    </w:p>
    <w:p>
      <w:pPr>
        <w:pStyle w:val="24"/>
        <w:numPr>
          <w:ilvl w:val="0"/>
          <w:numId w:val="89"/>
        </w:numPr>
        <w:tabs>
          <w:tab w:val="left" w:pos="567"/>
        </w:tabs>
        <w:spacing w:line="360" w:lineRule="auto"/>
        <w:ind w:firstLineChars="0"/>
        <w:rPr>
          <w:rFonts w:ascii="宋体" w:hAnsi="宋体"/>
          <w:color w:val="auto"/>
          <w:sz w:val="24"/>
          <w:highlight w:val="none"/>
        </w:rPr>
      </w:pPr>
      <w:r>
        <w:rPr>
          <w:rFonts w:hint="eastAsia" w:ascii="宋体" w:hAnsi="宋体" w:cs="宋体"/>
          <w:color w:val="auto"/>
          <w:sz w:val="24"/>
          <w:highlight w:val="none"/>
        </w:rPr>
        <w:t>合同壹式份，其中甲乙双方各执份，采购代理机构执壹份，政府采购监督管理部门</w:t>
      </w:r>
      <w:r>
        <w:rPr>
          <w:rFonts w:hint="eastAsia" w:ascii="宋体" w:hAnsi="宋体" w:cs="宋体"/>
          <w:color w:val="auto"/>
          <w:sz w:val="24"/>
          <w:highlight w:val="none"/>
          <w:u w:val="single"/>
        </w:rPr>
        <w:t>壹</w:t>
      </w:r>
      <w:r>
        <w:rPr>
          <w:rFonts w:hint="eastAsia" w:ascii="宋体" w:hAnsi="宋体" w:cs="宋体"/>
          <w:color w:val="auto"/>
          <w:sz w:val="24"/>
          <w:highlight w:val="none"/>
        </w:rPr>
        <w:t>份</w:t>
      </w:r>
      <w:r>
        <w:rPr>
          <w:rFonts w:hint="eastAsia" w:ascii="宋体" w:hAnsi="宋体"/>
          <w:color w:val="auto"/>
          <w:sz w:val="24"/>
          <w:highlight w:val="none"/>
        </w:rPr>
        <w:t>。</w:t>
      </w:r>
    </w:p>
    <w:p>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甲方（盖章）：                           乙方（盖章）：</w:t>
      </w:r>
    </w:p>
    <w:p>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 xml:space="preserve">代表：                                  代表： </w:t>
      </w:r>
    </w:p>
    <w:p>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签定地点：</w:t>
      </w:r>
    </w:p>
    <w:p>
      <w:pPr>
        <w:snapToGrid w:val="0"/>
        <w:spacing w:line="360" w:lineRule="auto"/>
        <w:rPr>
          <w:rFonts w:ascii="宋体" w:hAnsi="宋体" w:cs="宋体"/>
          <w:color w:val="auto"/>
          <w:sz w:val="24"/>
          <w:highlight w:val="none"/>
        </w:rPr>
      </w:pPr>
      <w:r>
        <w:rPr>
          <w:rFonts w:hint="eastAsia" w:ascii="宋体" w:hAnsi="宋体" w:cs="宋体"/>
          <w:color w:val="auto"/>
          <w:sz w:val="24"/>
          <w:highlight w:val="none"/>
        </w:rPr>
        <w:t xml:space="preserve">签定日期：        年     月    日       签定日期：        年     月     日    </w:t>
      </w:r>
    </w:p>
    <w:p>
      <w:pPr>
        <w:snapToGrid w:val="0"/>
        <w:spacing w:line="360" w:lineRule="auto"/>
        <w:ind w:firstLine="4800" w:firstLineChars="2000"/>
        <w:rPr>
          <w:rFonts w:ascii="宋体" w:hAnsi="宋体" w:cs="宋体"/>
          <w:color w:val="auto"/>
          <w:sz w:val="24"/>
          <w:highlight w:val="none"/>
        </w:rPr>
      </w:pPr>
      <w:r>
        <w:rPr>
          <w:rFonts w:hint="eastAsia" w:ascii="宋体" w:hAnsi="宋体" w:cs="宋体"/>
          <w:color w:val="auto"/>
          <w:sz w:val="24"/>
          <w:highlight w:val="none"/>
        </w:rPr>
        <w:t>开户名称：</w:t>
      </w:r>
    </w:p>
    <w:p>
      <w:pPr>
        <w:snapToGrid w:val="0"/>
        <w:spacing w:line="360" w:lineRule="auto"/>
        <w:ind w:firstLine="4800" w:firstLineChars="2000"/>
        <w:rPr>
          <w:rFonts w:ascii="宋体" w:hAnsi="宋体" w:cs="宋体"/>
          <w:color w:val="auto"/>
          <w:sz w:val="24"/>
          <w:highlight w:val="none"/>
        </w:rPr>
      </w:pPr>
      <w:r>
        <w:rPr>
          <w:rFonts w:hint="eastAsia" w:ascii="宋体" w:hAnsi="宋体" w:cs="宋体"/>
          <w:color w:val="auto"/>
          <w:sz w:val="24"/>
          <w:highlight w:val="none"/>
        </w:rPr>
        <w:t>银行账号：</w:t>
      </w:r>
    </w:p>
    <w:p>
      <w:pPr>
        <w:snapToGrid w:val="0"/>
        <w:spacing w:line="360" w:lineRule="auto"/>
        <w:ind w:firstLine="4800" w:firstLineChars="2000"/>
        <w:rPr>
          <w:rFonts w:ascii="宋体" w:hAnsi="宋体"/>
          <w:b/>
          <w:color w:val="auto"/>
          <w:highlight w:val="none"/>
        </w:rPr>
        <w:sectPr>
          <w:pgSz w:w="11906" w:h="16838"/>
          <w:pgMar w:top="1440" w:right="849" w:bottom="1440" w:left="993" w:header="851" w:footer="992" w:gutter="0"/>
          <w:cols w:space="720" w:num="1"/>
          <w:docGrid w:type="lines" w:linePitch="312" w:charSpace="0"/>
        </w:sectPr>
      </w:pPr>
      <w:r>
        <w:rPr>
          <w:rFonts w:hint="eastAsia" w:ascii="宋体" w:hAnsi="宋体" w:cs="宋体"/>
          <w:color w:val="auto"/>
          <w:sz w:val="24"/>
          <w:highlight w:val="none"/>
        </w:rPr>
        <w:t>开 户 行：</w:t>
      </w:r>
      <w:r>
        <w:rPr>
          <w:b/>
          <w:bCs/>
          <w:color w:val="auto"/>
          <w:sz w:val="28"/>
          <w:szCs w:val="28"/>
          <w:highlight w:val="none"/>
        </w:rPr>
        <w:br w:type="page"/>
      </w:r>
    </w:p>
    <w:p>
      <w:pPr>
        <w:spacing w:beforeLines="50" w:afterLines="50" w:line="360" w:lineRule="auto"/>
        <w:jc w:val="center"/>
        <w:outlineLvl w:val="0"/>
        <w:rPr>
          <w:b/>
          <w:bCs/>
          <w:color w:val="auto"/>
          <w:sz w:val="32"/>
          <w:szCs w:val="32"/>
          <w:highlight w:val="none"/>
        </w:rPr>
      </w:pPr>
      <w:bookmarkStart w:id="56" w:name="_Toc16963"/>
      <w:bookmarkStart w:id="57" w:name="_Toc435514851"/>
      <w:bookmarkStart w:id="58" w:name="_Toc435115056"/>
      <w:bookmarkStart w:id="59" w:name="_Toc13067024"/>
      <w:r>
        <w:rPr>
          <w:rFonts w:hint="eastAsia"/>
          <w:b/>
          <w:bCs/>
          <w:color w:val="auto"/>
          <w:sz w:val="32"/>
          <w:szCs w:val="32"/>
          <w:highlight w:val="none"/>
        </w:rPr>
        <w:t>第六章 投标文件格式</w:t>
      </w:r>
      <w:bookmarkEnd w:id="56"/>
      <w:bookmarkEnd w:id="57"/>
      <w:bookmarkEnd w:id="58"/>
      <w:bookmarkEnd w:id="59"/>
    </w:p>
    <w:p>
      <w:pPr>
        <w:tabs>
          <w:tab w:val="left" w:pos="426"/>
        </w:tabs>
        <w:autoSpaceDE w:val="0"/>
        <w:autoSpaceDN w:val="0"/>
        <w:spacing w:line="360" w:lineRule="auto"/>
        <w:ind w:left="505"/>
        <w:jc w:val="center"/>
        <w:outlineLvl w:val="3"/>
        <w:rPr>
          <w:rFonts w:ascii="黑体" w:hAnsi="黑体" w:eastAsia="黑体"/>
          <w:color w:val="auto"/>
          <w:sz w:val="32"/>
          <w:szCs w:val="32"/>
          <w:highlight w:val="none"/>
        </w:rPr>
      </w:pPr>
      <w:bookmarkStart w:id="60" w:name="_Toc435514852"/>
      <w:bookmarkStart w:id="61" w:name="_Toc435515292"/>
      <w:r>
        <w:rPr>
          <w:rFonts w:hint="eastAsia" w:ascii="黑体" w:hAnsi="黑体" w:eastAsia="黑体"/>
          <w:color w:val="auto"/>
          <w:sz w:val="32"/>
          <w:szCs w:val="32"/>
          <w:highlight w:val="none"/>
        </w:rPr>
        <w:t>投标文件包装封面参考</w:t>
      </w:r>
      <w:bookmarkEnd w:id="60"/>
      <w:bookmarkEnd w:id="61"/>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7" w:hRule="atLeast"/>
        </w:trPr>
        <w:tc>
          <w:tcPr>
            <w:tcW w:w="9018" w:type="dxa"/>
          </w:tcPr>
          <w:p>
            <w:pPr>
              <w:pStyle w:val="6"/>
              <w:spacing w:line="360" w:lineRule="auto"/>
              <w:ind w:firstLine="482" w:firstLineChars="150"/>
              <w:rPr>
                <w:rFonts w:ascii="仿宋_GB2312" w:eastAsia="仿宋_GB2312"/>
                <w:b/>
                <w:color w:val="auto"/>
                <w:sz w:val="32"/>
                <w:highlight w:val="none"/>
              </w:rPr>
            </w:pPr>
          </w:p>
          <w:p>
            <w:pPr>
              <w:pStyle w:val="6"/>
              <w:spacing w:line="360" w:lineRule="auto"/>
              <w:ind w:firstLine="482" w:firstLineChars="150"/>
              <w:rPr>
                <w:rFonts w:ascii="仿宋_GB2312" w:eastAsia="仿宋_GB2312"/>
                <w:b/>
                <w:color w:val="auto"/>
                <w:sz w:val="32"/>
                <w:highlight w:val="none"/>
              </w:rPr>
            </w:pPr>
          </w:p>
          <w:p>
            <w:pPr>
              <w:pStyle w:val="6"/>
              <w:spacing w:line="360" w:lineRule="auto"/>
              <w:ind w:firstLine="482" w:firstLineChars="150"/>
              <w:rPr>
                <w:rFonts w:ascii="仿宋_GB2312" w:eastAsia="仿宋_GB2312"/>
                <w:b/>
                <w:color w:val="auto"/>
                <w:sz w:val="32"/>
                <w:highlight w:val="none"/>
              </w:rPr>
            </w:pPr>
          </w:p>
          <w:p>
            <w:pPr>
              <w:pStyle w:val="6"/>
              <w:spacing w:line="360" w:lineRule="auto"/>
              <w:jc w:val="center"/>
              <w:rPr>
                <w:rFonts w:ascii="黑体" w:eastAsia="黑体"/>
                <w:b/>
                <w:color w:val="auto"/>
                <w:sz w:val="72"/>
                <w:szCs w:val="72"/>
                <w:highlight w:val="none"/>
              </w:rPr>
            </w:pPr>
            <w:r>
              <w:rPr>
                <w:rFonts w:hint="eastAsia" w:ascii="黑体" w:eastAsia="黑体"/>
                <w:b/>
                <w:color w:val="auto"/>
                <w:sz w:val="72"/>
                <w:szCs w:val="72"/>
                <w:highlight w:val="none"/>
              </w:rPr>
              <w:t>投 标 文 件</w:t>
            </w:r>
          </w:p>
          <w:p>
            <w:pPr>
              <w:pStyle w:val="6"/>
              <w:spacing w:line="360" w:lineRule="auto"/>
              <w:ind w:firstLine="3385" w:firstLineChars="651"/>
              <w:rPr>
                <w:rFonts w:ascii="黑体" w:eastAsia="黑体"/>
                <w:color w:val="auto"/>
                <w:sz w:val="32"/>
                <w:highlight w:val="none"/>
              </w:rPr>
            </w:pPr>
            <w:r>
              <w:rPr>
                <w:rFonts w:hint="eastAsia" w:ascii="黑体" w:eastAsia="黑体"/>
                <w:color w:val="auto"/>
                <w:sz w:val="52"/>
                <w:szCs w:val="52"/>
                <w:highlight w:val="none"/>
              </w:rPr>
              <w:t xml:space="preserve">口 </w:t>
            </w:r>
            <w:r>
              <w:rPr>
                <w:rFonts w:hint="eastAsia" w:ascii="黑体" w:eastAsia="黑体"/>
                <w:color w:val="auto"/>
                <w:sz w:val="32"/>
                <w:highlight w:val="none"/>
              </w:rPr>
              <w:t>正本</w:t>
            </w:r>
          </w:p>
          <w:p>
            <w:pPr>
              <w:pStyle w:val="6"/>
              <w:spacing w:line="360" w:lineRule="auto"/>
              <w:ind w:firstLine="3385" w:firstLineChars="651"/>
              <w:rPr>
                <w:rFonts w:ascii="黑体" w:eastAsia="黑体"/>
                <w:color w:val="auto"/>
                <w:sz w:val="32"/>
                <w:highlight w:val="none"/>
              </w:rPr>
            </w:pPr>
            <w:r>
              <w:rPr>
                <w:rFonts w:hint="eastAsia" w:ascii="黑体" w:eastAsia="黑体"/>
                <w:color w:val="auto"/>
                <w:sz w:val="52"/>
                <w:szCs w:val="52"/>
                <w:highlight w:val="none"/>
              </w:rPr>
              <w:t xml:space="preserve">口 </w:t>
            </w:r>
            <w:r>
              <w:rPr>
                <w:rFonts w:hint="eastAsia" w:ascii="黑体" w:eastAsia="黑体"/>
                <w:color w:val="auto"/>
                <w:sz w:val="32"/>
                <w:highlight w:val="none"/>
              </w:rPr>
              <w:t>副本</w:t>
            </w:r>
          </w:p>
          <w:p>
            <w:pPr>
              <w:pStyle w:val="6"/>
              <w:spacing w:line="360" w:lineRule="auto"/>
              <w:ind w:firstLine="3385" w:firstLineChars="651"/>
              <w:rPr>
                <w:rFonts w:ascii="黑体" w:eastAsia="黑体"/>
                <w:color w:val="auto"/>
                <w:sz w:val="32"/>
                <w:highlight w:val="none"/>
              </w:rPr>
            </w:pPr>
            <w:r>
              <w:rPr>
                <w:rFonts w:hint="eastAsia" w:ascii="黑体" w:eastAsia="黑体"/>
                <w:color w:val="auto"/>
                <w:sz w:val="52"/>
                <w:szCs w:val="52"/>
                <w:highlight w:val="none"/>
              </w:rPr>
              <w:t xml:space="preserve">口 </w:t>
            </w:r>
            <w:r>
              <w:rPr>
                <w:rFonts w:hint="eastAsia" w:ascii="黑体" w:eastAsia="黑体"/>
                <w:color w:val="auto"/>
                <w:sz w:val="32"/>
                <w:highlight w:val="none"/>
              </w:rPr>
              <w:t>单独密封资料</w:t>
            </w:r>
          </w:p>
          <w:p>
            <w:pPr>
              <w:pStyle w:val="6"/>
              <w:spacing w:line="360" w:lineRule="auto"/>
              <w:ind w:firstLine="2091" w:firstLineChars="651"/>
              <w:rPr>
                <w:rFonts w:ascii="黑体" w:eastAsia="黑体"/>
                <w:b/>
                <w:color w:val="auto"/>
                <w:sz w:val="32"/>
                <w:highlight w:val="none"/>
              </w:rPr>
            </w:pPr>
          </w:p>
          <w:p>
            <w:pPr>
              <w:pStyle w:val="6"/>
              <w:spacing w:line="360" w:lineRule="auto"/>
              <w:rPr>
                <w:rFonts w:ascii="仿宋_GB2312" w:eastAsia="仿宋_GB2312"/>
                <w:b/>
                <w:color w:val="auto"/>
                <w:sz w:val="32"/>
                <w:highlight w:val="none"/>
              </w:rPr>
            </w:pPr>
          </w:p>
          <w:p>
            <w:pPr>
              <w:pStyle w:val="6"/>
              <w:spacing w:line="400" w:lineRule="exact"/>
              <w:ind w:firstLine="896" w:firstLineChars="320"/>
              <w:rPr>
                <w:rFonts w:ascii="黑体" w:hAnsi="黑体" w:eastAsia="黑体"/>
                <w:color w:val="auto"/>
                <w:sz w:val="28"/>
                <w:szCs w:val="28"/>
                <w:highlight w:val="none"/>
              </w:rPr>
            </w:pPr>
            <w:r>
              <w:rPr>
                <w:rFonts w:hint="eastAsia" w:ascii="黑体" w:hAnsi="黑体" w:eastAsia="黑体"/>
                <w:color w:val="auto"/>
                <w:sz w:val="28"/>
                <w:szCs w:val="28"/>
                <w:highlight w:val="none"/>
              </w:rPr>
              <w:t>项目编号：kp2020-00239（CLF0120JM00ZC33）</w:t>
            </w:r>
          </w:p>
          <w:p>
            <w:pPr>
              <w:pStyle w:val="6"/>
              <w:spacing w:line="400" w:lineRule="exact"/>
              <w:ind w:firstLine="896" w:firstLineChars="320"/>
              <w:rPr>
                <w:rFonts w:ascii="黑体" w:hAnsi="黑体" w:eastAsia="黑体"/>
                <w:color w:val="auto"/>
                <w:sz w:val="28"/>
                <w:szCs w:val="28"/>
                <w:highlight w:val="none"/>
              </w:rPr>
            </w:pPr>
            <w:r>
              <w:rPr>
                <w:rFonts w:hint="eastAsia" w:ascii="黑体" w:hAnsi="黑体" w:eastAsia="黑体"/>
                <w:color w:val="auto"/>
                <w:sz w:val="28"/>
                <w:szCs w:val="28"/>
                <w:highlight w:val="none"/>
              </w:rPr>
              <w:t>项目名称：2020-2021年食品安全监督抽检项目</w:t>
            </w:r>
          </w:p>
          <w:p>
            <w:pPr>
              <w:pStyle w:val="6"/>
              <w:spacing w:line="400" w:lineRule="exact"/>
              <w:ind w:firstLine="896" w:firstLineChars="320"/>
              <w:rPr>
                <w:rFonts w:ascii="黑体" w:hAnsi="黑体" w:eastAsia="黑体"/>
                <w:color w:val="auto"/>
                <w:sz w:val="28"/>
                <w:szCs w:val="28"/>
                <w:highlight w:val="none"/>
              </w:rPr>
            </w:pPr>
            <w:r>
              <w:rPr>
                <w:rFonts w:hint="eastAsia" w:ascii="黑体" w:hAnsi="黑体" w:eastAsia="黑体"/>
                <w:color w:val="auto"/>
                <w:sz w:val="28"/>
                <w:szCs w:val="28"/>
                <w:highlight w:val="none"/>
              </w:rPr>
              <w:t>投标人名称：</w:t>
            </w:r>
          </w:p>
          <w:p>
            <w:pPr>
              <w:pStyle w:val="6"/>
              <w:spacing w:line="400" w:lineRule="exact"/>
              <w:ind w:firstLine="896" w:firstLineChars="320"/>
              <w:rPr>
                <w:rFonts w:ascii="黑体" w:hAnsi="黑体" w:eastAsia="黑体"/>
                <w:color w:val="auto"/>
                <w:sz w:val="28"/>
                <w:szCs w:val="28"/>
                <w:highlight w:val="none"/>
              </w:rPr>
            </w:pPr>
            <w:r>
              <w:rPr>
                <w:rFonts w:hint="eastAsia" w:ascii="黑体" w:hAnsi="黑体" w:eastAsia="黑体"/>
                <w:color w:val="auto"/>
                <w:sz w:val="28"/>
                <w:szCs w:val="28"/>
                <w:highlight w:val="none"/>
              </w:rPr>
              <w:t>投标人地址：</w:t>
            </w:r>
          </w:p>
          <w:p>
            <w:pPr>
              <w:pStyle w:val="6"/>
              <w:spacing w:line="400" w:lineRule="exact"/>
              <w:ind w:firstLine="896" w:firstLineChars="320"/>
              <w:rPr>
                <w:rFonts w:ascii="黑体" w:hAnsi="黑体" w:eastAsia="黑体"/>
                <w:color w:val="auto"/>
                <w:sz w:val="28"/>
                <w:szCs w:val="28"/>
                <w:highlight w:val="none"/>
              </w:rPr>
            </w:pPr>
            <w:r>
              <w:rPr>
                <w:rFonts w:hint="eastAsia" w:ascii="黑体" w:hAnsi="黑体" w:eastAsia="黑体"/>
                <w:color w:val="auto"/>
                <w:sz w:val="28"/>
                <w:szCs w:val="28"/>
                <w:highlight w:val="none"/>
              </w:rPr>
              <w:t>参投包组：</w:t>
            </w:r>
          </w:p>
          <w:p>
            <w:pPr>
              <w:tabs>
                <w:tab w:val="left" w:pos="851"/>
              </w:tabs>
              <w:autoSpaceDE w:val="0"/>
              <w:autoSpaceDN w:val="0"/>
              <w:snapToGrid w:val="0"/>
              <w:spacing w:line="420" w:lineRule="auto"/>
              <w:ind w:firstLine="948" w:firstLineChars="295"/>
              <w:rPr>
                <w:rFonts w:ascii="仿宋_GB2312" w:eastAsia="仿宋_GB2312"/>
                <w:b/>
                <w:color w:val="auto"/>
                <w:sz w:val="32"/>
                <w:highlight w:val="none"/>
              </w:rPr>
            </w:pPr>
          </w:p>
        </w:tc>
      </w:tr>
    </w:tbl>
    <w:p>
      <w:pPr>
        <w:tabs>
          <w:tab w:val="left" w:pos="426"/>
        </w:tabs>
        <w:autoSpaceDE w:val="0"/>
        <w:autoSpaceDN w:val="0"/>
        <w:spacing w:line="360" w:lineRule="auto"/>
        <w:ind w:left="505"/>
        <w:jc w:val="center"/>
        <w:outlineLvl w:val="3"/>
        <w:rPr>
          <w:rFonts w:ascii="黑体" w:hAnsi="黑体" w:eastAsia="黑体"/>
          <w:color w:val="auto"/>
          <w:sz w:val="32"/>
          <w:szCs w:val="32"/>
          <w:highlight w:val="none"/>
        </w:rPr>
      </w:pPr>
      <w:r>
        <w:rPr>
          <w:rFonts w:ascii="黑体"/>
          <w:bCs/>
          <w:color w:val="auto"/>
          <w:sz w:val="28"/>
          <w:highlight w:val="none"/>
        </w:rPr>
        <w:br w:type="page"/>
      </w:r>
      <w:r>
        <w:rPr>
          <w:rFonts w:hint="eastAsia" w:ascii="黑体" w:hAnsi="黑体" w:eastAsia="黑体"/>
          <w:color w:val="auto"/>
          <w:sz w:val="32"/>
          <w:szCs w:val="32"/>
          <w:highlight w:val="none"/>
        </w:rPr>
        <w:t>投标文件目录表</w:t>
      </w:r>
    </w:p>
    <w:p>
      <w:pPr>
        <w:pStyle w:val="24"/>
        <w:numPr>
          <w:ilvl w:val="0"/>
          <w:numId w:val="90"/>
        </w:numPr>
        <w:snapToGrid w:val="0"/>
        <w:spacing w:line="360" w:lineRule="auto"/>
        <w:ind w:firstLineChars="0"/>
        <w:rPr>
          <w:rFonts w:ascii="宋体" w:hAnsi="宋体"/>
          <w:b/>
          <w:color w:val="auto"/>
          <w:sz w:val="24"/>
          <w:highlight w:val="none"/>
        </w:rPr>
      </w:pPr>
      <w:r>
        <w:rPr>
          <w:rFonts w:hint="eastAsia" w:ascii="宋体" w:hAnsi="宋体"/>
          <w:b/>
          <w:color w:val="auto"/>
          <w:sz w:val="24"/>
          <w:highlight w:val="none"/>
        </w:rPr>
        <w:t>相关说明：</w:t>
      </w:r>
    </w:p>
    <w:p>
      <w:pPr>
        <w:pStyle w:val="24"/>
        <w:numPr>
          <w:ilvl w:val="0"/>
          <w:numId w:val="91"/>
        </w:numPr>
        <w:snapToGrid w:val="0"/>
        <w:spacing w:line="360" w:lineRule="auto"/>
        <w:ind w:firstLineChars="0"/>
        <w:rPr>
          <w:rFonts w:ascii="宋体" w:hAnsi="宋体"/>
          <w:color w:val="auto"/>
          <w:sz w:val="24"/>
          <w:highlight w:val="none"/>
        </w:rPr>
      </w:pPr>
      <w:r>
        <w:rPr>
          <w:rFonts w:hint="eastAsia" w:ascii="宋体" w:hAnsi="宋体"/>
          <w:color w:val="auto"/>
          <w:sz w:val="24"/>
          <w:highlight w:val="none"/>
        </w:rPr>
        <w:t>投标文件包括但不限于以下组成内容，请按顺序制作。</w:t>
      </w:r>
    </w:p>
    <w:p>
      <w:pPr>
        <w:pStyle w:val="24"/>
        <w:numPr>
          <w:ilvl w:val="0"/>
          <w:numId w:val="91"/>
        </w:numPr>
        <w:snapToGrid w:val="0"/>
        <w:spacing w:line="360" w:lineRule="auto"/>
        <w:ind w:firstLineChars="0"/>
        <w:rPr>
          <w:rFonts w:ascii="宋体" w:hAnsi="宋体"/>
          <w:color w:val="auto"/>
          <w:sz w:val="24"/>
          <w:highlight w:val="none"/>
        </w:rPr>
      </w:pPr>
      <w:r>
        <w:rPr>
          <w:rFonts w:hint="eastAsia" w:ascii="宋体" w:hAnsi="宋体"/>
          <w:color w:val="auto"/>
          <w:sz w:val="24"/>
          <w:highlight w:val="none"/>
        </w:rPr>
        <w:t>投标人编制投标文件中的项目编号为kp2020-00239（CLF0120JM00ZC33）。</w:t>
      </w:r>
    </w:p>
    <w:p>
      <w:pPr>
        <w:pStyle w:val="24"/>
        <w:widowControl/>
        <w:numPr>
          <w:ilvl w:val="0"/>
          <w:numId w:val="91"/>
        </w:numPr>
        <w:spacing w:line="360" w:lineRule="auto"/>
        <w:ind w:firstLineChars="0"/>
        <w:jc w:val="left"/>
        <w:rPr>
          <w:rFonts w:ascii="宋体" w:hAnsi="宋体"/>
          <w:color w:val="auto"/>
          <w:sz w:val="24"/>
          <w:highlight w:val="none"/>
        </w:rPr>
      </w:pPr>
      <w:r>
        <w:rPr>
          <w:rFonts w:hint="eastAsia" w:ascii="宋体" w:hAnsi="宋体"/>
          <w:color w:val="auto"/>
          <w:sz w:val="24"/>
          <w:highlight w:val="none"/>
        </w:rPr>
        <w:t>投标人按照《资格性审查表》的评审内容的要求如实提供证明材料</w:t>
      </w:r>
      <w:r>
        <w:rPr>
          <w:rFonts w:hint="eastAsia" w:ascii="宋体" w:hAnsi="宋体"/>
          <w:bCs/>
          <w:color w:val="auto"/>
          <w:sz w:val="24"/>
          <w:highlight w:val="none"/>
        </w:rPr>
        <w:t>并应加盖投标人公章</w:t>
      </w:r>
      <w:r>
        <w:rPr>
          <w:rFonts w:hint="eastAsia" w:ascii="宋体" w:hAnsi="宋体"/>
          <w:color w:val="auto"/>
          <w:sz w:val="24"/>
          <w:highlight w:val="none"/>
        </w:rPr>
        <w:t>。</w:t>
      </w:r>
      <w:r>
        <w:rPr>
          <w:rFonts w:hint="eastAsia" w:ascii="宋体" w:cs="宋体"/>
          <w:color w:val="auto"/>
          <w:sz w:val="24"/>
          <w:highlight w:val="none"/>
        </w:rPr>
        <w:t>未通过资格性审查的投标人，为无效投标，不进入符合性审查。</w:t>
      </w:r>
    </w:p>
    <w:p>
      <w:pPr>
        <w:pStyle w:val="24"/>
        <w:widowControl/>
        <w:numPr>
          <w:ilvl w:val="0"/>
          <w:numId w:val="91"/>
        </w:numPr>
        <w:spacing w:line="360" w:lineRule="auto"/>
        <w:ind w:firstLineChars="0"/>
        <w:jc w:val="left"/>
        <w:rPr>
          <w:rFonts w:ascii="宋体" w:cs="宋体"/>
          <w:strike/>
          <w:color w:val="auto"/>
          <w:sz w:val="24"/>
          <w:highlight w:val="none"/>
        </w:rPr>
      </w:pPr>
      <w:r>
        <w:rPr>
          <w:rFonts w:hint="eastAsia" w:ascii="宋体" w:cs="宋体"/>
          <w:color w:val="auto"/>
          <w:sz w:val="24"/>
          <w:highlight w:val="none"/>
        </w:rPr>
        <w:t>投标人按照《符合性审查表》的评审内容的要求如实提供证明材料</w:t>
      </w:r>
      <w:r>
        <w:rPr>
          <w:rFonts w:hint="eastAsia" w:ascii="宋体" w:hAnsi="宋体"/>
          <w:bCs/>
          <w:color w:val="auto"/>
          <w:sz w:val="24"/>
          <w:highlight w:val="none"/>
        </w:rPr>
        <w:t>并应加盖投标人公章</w:t>
      </w:r>
      <w:r>
        <w:rPr>
          <w:rFonts w:hint="eastAsia" w:ascii="宋体" w:cs="宋体"/>
          <w:color w:val="auto"/>
          <w:sz w:val="24"/>
          <w:highlight w:val="none"/>
        </w:rPr>
        <w:t>。未通过符合性审查的投标人，为无效投标，不进入详细评审。</w:t>
      </w:r>
    </w:p>
    <w:p>
      <w:pPr>
        <w:pStyle w:val="24"/>
        <w:numPr>
          <w:ilvl w:val="0"/>
          <w:numId w:val="91"/>
        </w:numPr>
        <w:tabs>
          <w:tab w:val="left" w:pos="6405"/>
        </w:tabs>
        <w:snapToGrid w:val="0"/>
        <w:spacing w:line="360" w:lineRule="auto"/>
        <w:ind w:firstLineChars="0"/>
        <w:rPr>
          <w:rFonts w:ascii="宋体" w:hAnsi="宋体"/>
          <w:color w:val="auto"/>
          <w:sz w:val="24"/>
          <w:highlight w:val="none"/>
        </w:rPr>
      </w:pPr>
      <w:r>
        <w:rPr>
          <w:rFonts w:hint="eastAsia" w:ascii="宋体" w:hAnsi="宋体"/>
          <w:color w:val="auto"/>
          <w:sz w:val="24"/>
          <w:highlight w:val="none"/>
        </w:rPr>
        <w:t>投标人根据第三章评标方法和标准的《综合评分表》要求提交相关各类证明材料，并</w:t>
      </w:r>
      <w:r>
        <w:rPr>
          <w:rFonts w:hint="eastAsia" w:ascii="宋体" w:hAnsi="宋体"/>
          <w:bCs/>
          <w:color w:val="auto"/>
          <w:sz w:val="24"/>
          <w:highlight w:val="none"/>
        </w:rPr>
        <w:t>加盖投标人公章。</w:t>
      </w:r>
    </w:p>
    <w:p>
      <w:pPr>
        <w:widowControl/>
        <w:spacing w:line="360" w:lineRule="auto"/>
        <w:jc w:val="left"/>
        <w:rPr>
          <w:rFonts w:ascii="宋体" w:cs="宋体"/>
          <w:strike/>
          <w:color w:val="auto"/>
          <w:sz w:val="24"/>
          <w:highlight w:val="none"/>
        </w:rPr>
      </w:pPr>
    </w:p>
    <w:p>
      <w:pPr>
        <w:pStyle w:val="24"/>
        <w:numPr>
          <w:ilvl w:val="0"/>
          <w:numId w:val="92"/>
        </w:numPr>
        <w:snapToGrid w:val="0"/>
        <w:spacing w:line="360" w:lineRule="auto"/>
        <w:ind w:firstLineChars="0"/>
        <w:jc w:val="center"/>
        <w:rPr>
          <w:rFonts w:ascii="宋体" w:hAnsi="宋体"/>
          <w:b/>
          <w:color w:val="auto"/>
          <w:sz w:val="30"/>
          <w:szCs w:val="30"/>
          <w:highlight w:val="none"/>
        </w:rPr>
      </w:pPr>
      <w:r>
        <w:rPr>
          <w:rFonts w:hint="eastAsia" w:ascii="宋体" w:hAnsi="宋体"/>
          <w:b/>
          <w:color w:val="auto"/>
          <w:sz w:val="30"/>
          <w:szCs w:val="30"/>
          <w:highlight w:val="none"/>
        </w:rPr>
        <w:t>价格评审自查表</w:t>
      </w:r>
    </w:p>
    <w:p>
      <w:pPr>
        <w:snapToGrid w:val="0"/>
        <w:spacing w:line="360" w:lineRule="auto"/>
        <w:rPr>
          <w:rFonts w:ascii="宋体" w:hAnsi="宋体"/>
          <w:color w:val="auto"/>
          <w:sz w:val="24"/>
          <w:highlight w:val="none"/>
        </w:rPr>
      </w:pPr>
      <w:r>
        <w:rPr>
          <w:rFonts w:hint="eastAsia" w:ascii="宋体" w:hAnsi="宋体"/>
          <w:color w:val="auto"/>
          <w:sz w:val="24"/>
          <w:highlight w:val="none"/>
        </w:rPr>
        <w:t>项目名称：2020-2021年食品安全监督抽检项目</w:t>
      </w:r>
    </w:p>
    <w:p>
      <w:pPr>
        <w:snapToGrid w:val="0"/>
        <w:spacing w:line="360" w:lineRule="auto"/>
        <w:rPr>
          <w:rFonts w:ascii="宋体" w:hAnsi="宋体"/>
          <w:color w:val="auto"/>
          <w:sz w:val="24"/>
          <w:highlight w:val="none"/>
        </w:rPr>
      </w:pPr>
      <w:r>
        <w:rPr>
          <w:rFonts w:hint="eastAsia" w:ascii="宋体" w:hAnsi="宋体"/>
          <w:color w:val="auto"/>
          <w:sz w:val="24"/>
          <w:highlight w:val="none"/>
        </w:rPr>
        <w:t>项目编号：kp2020-00239（CLF0120JM00ZC33）</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5485"/>
        <w:gridCol w:w="3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02" w:type="pct"/>
            <w:tcBorders>
              <w:top w:val="single" w:color="auto" w:sz="12" w:space="0"/>
              <w:left w:val="single" w:color="auto" w:sz="12" w:space="0"/>
              <w:bottom w:val="single" w:color="auto" w:sz="4" w:space="0"/>
              <w:right w:val="single" w:color="auto" w:sz="4" w:space="0"/>
            </w:tcBorders>
            <w:vAlign w:val="center"/>
          </w:tcPr>
          <w:p>
            <w:pPr>
              <w:snapToGrid w:val="0"/>
              <w:jc w:val="center"/>
              <w:rPr>
                <w:rFonts w:ascii="宋体" w:hAnsi="宋体"/>
                <w:b/>
                <w:color w:val="auto"/>
                <w:sz w:val="24"/>
                <w:highlight w:val="none"/>
              </w:rPr>
            </w:pPr>
            <w:r>
              <w:rPr>
                <w:rFonts w:hint="eastAsia" w:ascii="宋体" w:hAnsi="宋体"/>
                <w:b/>
                <w:color w:val="auto"/>
                <w:sz w:val="24"/>
                <w:highlight w:val="none"/>
              </w:rPr>
              <w:t>序号</w:t>
            </w:r>
          </w:p>
        </w:tc>
        <w:tc>
          <w:tcPr>
            <w:tcW w:w="2919" w:type="pct"/>
            <w:tcBorders>
              <w:top w:val="single" w:color="auto" w:sz="12" w:space="0"/>
              <w:left w:val="single" w:color="auto" w:sz="4" w:space="0"/>
              <w:bottom w:val="single" w:color="auto" w:sz="4" w:space="0"/>
              <w:right w:val="single" w:color="auto" w:sz="4" w:space="0"/>
            </w:tcBorders>
            <w:vAlign w:val="center"/>
          </w:tcPr>
          <w:p>
            <w:pPr>
              <w:snapToGrid w:val="0"/>
              <w:jc w:val="center"/>
              <w:rPr>
                <w:rFonts w:ascii="宋体" w:hAnsi="宋体"/>
                <w:b/>
                <w:color w:val="auto"/>
                <w:sz w:val="24"/>
                <w:highlight w:val="none"/>
              </w:rPr>
            </w:pPr>
            <w:r>
              <w:rPr>
                <w:rFonts w:hint="eastAsia" w:ascii="宋体" w:hAnsi="宋体"/>
                <w:b/>
                <w:color w:val="auto"/>
                <w:sz w:val="24"/>
                <w:highlight w:val="none"/>
              </w:rPr>
              <w:t>评审分项</w:t>
            </w:r>
          </w:p>
        </w:tc>
        <w:tc>
          <w:tcPr>
            <w:tcW w:w="1680" w:type="pct"/>
            <w:tcBorders>
              <w:top w:val="single" w:color="auto" w:sz="12" w:space="0"/>
              <w:left w:val="single" w:color="auto" w:sz="4" w:space="0"/>
              <w:bottom w:val="single" w:color="auto" w:sz="4" w:space="0"/>
              <w:right w:val="single" w:color="auto" w:sz="12" w:space="0"/>
            </w:tcBorders>
            <w:vAlign w:val="center"/>
          </w:tcPr>
          <w:p>
            <w:pPr>
              <w:snapToGrid w:val="0"/>
              <w:jc w:val="center"/>
              <w:rPr>
                <w:rFonts w:ascii="宋体" w:hAnsi="宋体"/>
                <w:b/>
                <w:color w:val="auto"/>
                <w:sz w:val="24"/>
                <w:highlight w:val="none"/>
              </w:rPr>
            </w:pPr>
            <w:r>
              <w:rPr>
                <w:rFonts w:hint="eastAsia" w:ascii="宋体" w:hAnsi="宋体"/>
                <w:b/>
                <w:color w:val="auto"/>
                <w:sz w:val="24"/>
                <w:highlight w:val="none"/>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402" w:type="pct"/>
            <w:tcBorders>
              <w:top w:val="single" w:color="auto" w:sz="4" w:space="0"/>
              <w:left w:val="single" w:color="auto" w:sz="12" w:space="0"/>
              <w:bottom w:val="single" w:color="auto" w:sz="4" w:space="0"/>
              <w:right w:val="single" w:color="auto" w:sz="4" w:space="0"/>
            </w:tcBorders>
            <w:vAlign w:val="center"/>
          </w:tcPr>
          <w:p>
            <w:pPr>
              <w:numPr>
                <w:ilvl w:val="0"/>
                <w:numId w:val="93"/>
              </w:numPr>
              <w:snapToGrid w:val="0"/>
              <w:rPr>
                <w:rFonts w:ascii="宋体" w:hAnsi="宋体"/>
                <w:color w:val="auto"/>
                <w:sz w:val="24"/>
                <w:highlight w:val="none"/>
              </w:rPr>
            </w:pPr>
          </w:p>
        </w:tc>
        <w:tc>
          <w:tcPr>
            <w:tcW w:w="2919"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 w:val="24"/>
                <w:highlight w:val="none"/>
              </w:rPr>
            </w:pPr>
            <w:r>
              <w:rPr>
                <w:rFonts w:hint="eastAsia" w:hAnsi="宋体" w:cs="Courier New"/>
                <w:color w:val="auto"/>
                <w:sz w:val="24"/>
                <w:highlight w:val="none"/>
              </w:rPr>
              <w:t>开标一览表(报价表)</w:t>
            </w:r>
          </w:p>
        </w:tc>
        <w:tc>
          <w:tcPr>
            <w:tcW w:w="1680" w:type="pct"/>
            <w:tcBorders>
              <w:top w:val="single" w:color="auto" w:sz="4" w:space="0"/>
              <w:left w:val="single" w:color="auto" w:sz="4" w:space="0"/>
              <w:bottom w:val="single" w:color="auto" w:sz="4" w:space="0"/>
              <w:right w:val="single" w:color="auto" w:sz="12" w:space="0"/>
            </w:tcBorders>
            <w:vAlign w:val="center"/>
          </w:tcPr>
          <w:p>
            <w:pPr>
              <w:snapToGrid w:val="0"/>
              <w:jc w:val="center"/>
              <w:rPr>
                <w:rFonts w:ascii="宋体" w:hAnsi="宋体"/>
                <w:color w:val="auto"/>
                <w:sz w:val="24"/>
                <w:highlight w:val="none"/>
              </w:rPr>
            </w:pPr>
            <w:r>
              <w:rPr>
                <w:rFonts w:hint="eastAsia" w:asciiTheme="minorEastAsia" w:hAnsiTheme="minorEastAsia" w:eastAsiaTheme="minorEastAsia"/>
                <w:color w:val="auto"/>
                <w:sz w:val="24"/>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402" w:type="pct"/>
            <w:tcBorders>
              <w:top w:val="single" w:color="auto" w:sz="4" w:space="0"/>
              <w:left w:val="single" w:color="auto" w:sz="12" w:space="0"/>
              <w:bottom w:val="single" w:color="auto" w:sz="4" w:space="0"/>
              <w:right w:val="single" w:color="auto" w:sz="4" w:space="0"/>
            </w:tcBorders>
            <w:vAlign w:val="center"/>
          </w:tcPr>
          <w:p>
            <w:pPr>
              <w:numPr>
                <w:ilvl w:val="0"/>
                <w:numId w:val="93"/>
              </w:numPr>
              <w:snapToGrid w:val="0"/>
              <w:rPr>
                <w:rFonts w:ascii="宋体" w:hAnsi="宋体"/>
                <w:color w:val="auto"/>
                <w:sz w:val="24"/>
                <w:highlight w:val="none"/>
              </w:rPr>
            </w:pPr>
          </w:p>
        </w:tc>
        <w:tc>
          <w:tcPr>
            <w:tcW w:w="2919" w:type="pct"/>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auto"/>
                <w:sz w:val="24"/>
                <w:highlight w:val="none"/>
              </w:rPr>
            </w:pPr>
            <w:r>
              <w:rPr>
                <w:rFonts w:hint="eastAsia" w:ascii="宋体" w:hAnsi="宋体"/>
                <w:color w:val="auto"/>
                <w:sz w:val="24"/>
                <w:highlight w:val="none"/>
              </w:rPr>
              <w:t>投标分项报价表</w:t>
            </w:r>
          </w:p>
        </w:tc>
        <w:tc>
          <w:tcPr>
            <w:tcW w:w="1680" w:type="pct"/>
            <w:tcBorders>
              <w:top w:val="single" w:color="auto" w:sz="4" w:space="0"/>
              <w:left w:val="single" w:color="auto" w:sz="4" w:space="0"/>
              <w:bottom w:val="single" w:color="auto" w:sz="4" w:space="0"/>
              <w:right w:val="single" w:color="auto" w:sz="12" w:space="0"/>
            </w:tcBorders>
            <w:vAlign w:val="center"/>
          </w:tcPr>
          <w:p>
            <w:pPr>
              <w:snapToGrid w:val="0"/>
              <w:jc w:val="center"/>
              <w:rPr>
                <w:rFonts w:ascii="宋体" w:hAnsi="宋体"/>
                <w:color w:val="auto"/>
                <w:sz w:val="24"/>
                <w:highlight w:val="none"/>
              </w:rPr>
            </w:pPr>
            <w:r>
              <w:rPr>
                <w:rFonts w:hint="eastAsia" w:asciiTheme="minorEastAsia" w:hAnsiTheme="minorEastAsia" w:eastAsiaTheme="minorEastAsia"/>
                <w:color w:val="auto"/>
                <w:sz w:val="24"/>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402" w:type="pct"/>
            <w:tcBorders>
              <w:top w:val="single" w:color="auto" w:sz="4" w:space="0"/>
              <w:left w:val="single" w:color="auto" w:sz="12" w:space="0"/>
              <w:bottom w:val="single" w:color="auto" w:sz="4" w:space="0"/>
              <w:right w:val="single" w:color="auto" w:sz="4" w:space="0"/>
            </w:tcBorders>
            <w:vAlign w:val="center"/>
          </w:tcPr>
          <w:p>
            <w:pPr>
              <w:numPr>
                <w:ilvl w:val="0"/>
                <w:numId w:val="93"/>
              </w:numPr>
              <w:snapToGrid w:val="0"/>
              <w:rPr>
                <w:rFonts w:ascii="宋体" w:hAnsi="宋体"/>
                <w:color w:val="auto"/>
                <w:sz w:val="24"/>
                <w:highlight w:val="none"/>
              </w:rPr>
            </w:pPr>
          </w:p>
        </w:tc>
        <w:tc>
          <w:tcPr>
            <w:tcW w:w="2919" w:type="pct"/>
            <w:tcBorders>
              <w:top w:val="single" w:color="auto" w:sz="4" w:space="0"/>
              <w:left w:val="single" w:color="auto" w:sz="4" w:space="0"/>
              <w:bottom w:val="single" w:color="auto" w:sz="4" w:space="0"/>
              <w:right w:val="single" w:color="auto" w:sz="4" w:space="0"/>
            </w:tcBorders>
            <w:vAlign w:val="center"/>
          </w:tcPr>
          <w:p>
            <w:pPr>
              <w:snapToGrid w:val="0"/>
              <w:jc w:val="center"/>
              <w:rPr>
                <w:rFonts w:hAnsi="宋体" w:cs="Courier New"/>
                <w:color w:val="auto"/>
                <w:sz w:val="24"/>
                <w:highlight w:val="none"/>
              </w:rPr>
            </w:pPr>
            <w:r>
              <w:rPr>
                <w:rFonts w:hint="eastAsia" w:hAnsi="宋体" w:cs="Courier New"/>
                <w:color w:val="auto"/>
                <w:sz w:val="24"/>
                <w:highlight w:val="none"/>
              </w:rPr>
              <w:t>中小企业声明函（如有）</w:t>
            </w:r>
          </w:p>
        </w:tc>
        <w:tc>
          <w:tcPr>
            <w:tcW w:w="1680" w:type="pct"/>
            <w:tcBorders>
              <w:top w:val="single" w:color="auto" w:sz="4" w:space="0"/>
              <w:left w:val="single" w:color="auto" w:sz="4" w:space="0"/>
              <w:bottom w:val="single" w:color="auto" w:sz="4" w:space="0"/>
              <w:right w:val="single" w:color="auto" w:sz="12" w:space="0"/>
            </w:tcBorders>
            <w:vAlign w:val="center"/>
          </w:tcPr>
          <w:p>
            <w:pPr>
              <w:snapToGrid w:val="0"/>
              <w:jc w:val="center"/>
              <w:rPr>
                <w:rFonts w:ascii="宋体" w:hAnsi="宋体"/>
                <w:color w:val="auto"/>
                <w:sz w:val="24"/>
                <w:highlight w:val="none"/>
              </w:rPr>
            </w:pPr>
            <w:r>
              <w:rPr>
                <w:rFonts w:hint="eastAsia" w:asciiTheme="minorEastAsia" w:hAnsiTheme="minorEastAsia" w:eastAsiaTheme="minorEastAsia"/>
                <w:color w:val="auto"/>
                <w:sz w:val="24"/>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402" w:type="pct"/>
            <w:tcBorders>
              <w:left w:val="single" w:color="auto" w:sz="12" w:space="0"/>
              <w:right w:val="single" w:color="auto" w:sz="4" w:space="0"/>
            </w:tcBorders>
            <w:vAlign w:val="center"/>
          </w:tcPr>
          <w:p>
            <w:pPr>
              <w:numPr>
                <w:ilvl w:val="0"/>
                <w:numId w:val="93"/>
              </w:numPr>
              <w:snapToGrid w:val="0"/>
              <w:rPr>
                <w:rFonts w:ascii="宋体" w:hAnsi="宋体"/>
                <w:color w:val="auto"/>
                <w:sz w:val="24"/>
                <w:highlight w:val="none"/>
              </w:rPr>
            </w:pPr>
          </w:p>
        </w:tc>
        <w:tc>
          <w:tcPr>
            <w:tcW w:w="2919" w:type="pct"/>
            <w:tcBorders>
              <w:left w:val="single" w:color="auto" w:sz="4" w:space="0"/>
              <w:right w:val="single" w:color="auto" w:sz="4" w:space="0"/>
            </w:tcBorders>
            <w:vAlign w:val="center"/>
          </w:tcPr>
          <w:p>
            <w:pPr>
              <w:snapToGrid w:val="0"/>
              <w:jc w:val="center"/>
              <w:rPr>
                <w:rFonts w:hAnsi="宋体" w:cs="Courier New"/>
                <w:color w:val="auto"/>
                <w:sz w:val="24"/>
                <w:highlight w:val="none"/>
              </w:rPr>
            </w:pPr>
            <w:r>
              <w:rPr>
                <w:rFonts w:hint="eastAsia" w:hAnsi="宋体" w:cs="Courier New"/>
                <w:color w:val="auto"/>
                <w:sz w:val="24"/>
                <w:highlight w:val="none"/>
              </w:rPr>
              <w:t>监狱企业的证明文件（如有）</w:t>
            </w:r>
          </w:p>
        </w:tc>
        <w:tc>
          <w:tcPr>
            <w:tcW w:w="1680" w:type="pct"/>
            <w:tcBorders>
              <w:top w:val="single" w:color="auto" w:sz="4" w:space="0"/>
              <w:left w:val="single" w:color="auto" w:sz="4" w:space="0"/>
              <w:bottom w:val="single" w:color="auto" w:sz="4" w:space="0"/>
              <w:right w:val="single" w:color="auto" w:sz="12" w:space="0"/>
            </w:tcBorders>
            <w:vAlign w:val="center"/>
          </w:tcPr>
          <w:p>
            <w:pPr>
              <w:snapToGrid w:val="0"/>
              <w:jc w:val="center"/>
              <w:rPr>
                <w:rFonts w:ascii="宋体" w:hAnsi="宋体"/>
                <w:color w:val="auto"/>
                <w:sz w:val="24"/>
                <w:highlight w:val="none"/>
              </w:rPr>
            </w:pPr>
            <w:r>
              <w:rPr>
                <w:rFonts w:hint="eastAsia" w:asciiTheme="minorEastAsia" w:hAnsiTheme="minorEastAsia" w:eastAsiaTheme="minorEastAsia"/>
                <w:color w:val="auto"/>
                <w:sz w:val="24"/>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402" w:type="pct"/>
            <w:tcBorders>
              <w:left w:val="single" w:color="auto" w:sz="12" w:space="0"/>
              <w:right w:val="single" w:color="auto" w:sz="4" w:space="0"/>
            </w:tcBorders>
            <w:vAlign w:val="center"/>
          </w:tcPr>
          <w:p>
            <w:pPr>
              <w:numPr>
                <w:ilvl w:val="0"/>
                <w:numId w:val="93"/>
              </w:numPr>
              <w:snapToGrid w:val="0"/>
              <w:rPr>
                <w:rFonts w:ascii="宋体" w:hAnsi="宋体"/>
                <w:color w:val="auto"/>
                <w:sz w:val="24"/>
                <w:highlight w:val="none"/>
              </w:rPr>
            </w:pPr>
          </w:p>
        </w:tc>
        <w:tc>
          <w:tcPr>
            <w:tcW w:w="2919" w:type="pct"/>
            <w:tcBorders>
              <w:left w:val="single" w:color="auto" w:sz="4" w:space="0"/>
              <w:right w:val="single" w:color="auto" w:sz="4" w:space="0"/>
            </w:tcBorders>
            <w:vAlign w:val="center"/>
          </w:tcPr>
          <w:p>
            <w:pPr>
              <w:snapToGrid w:val="0"/>
              <w:jc w:val="center"/>
              <w:rPr>
                <w:rFonts w:hAnsi="宋体" w:cs="Courier New"/>
                <w:color w:val="auto"/>
                <w:sz w:val="24"/>
                <w:highlight w:val="none"/>
              </w:rPr>
            </w:pPr>
            <w:r>
              <w:rPr>
                <w:rFonts w:hint="eastAsia" w:hAnsi="宋体" w:cs="Courier New"/>
                <w:color w:val="auto"/>
                <w:sz w:val="24"/>
                <w:highlight w:val="none"/>
              </w:rPr>
              <w:t>残疾人福利性单位声明函（如有）</w:t>
            </w:r>
          </w:p>
        </w:tc>
        <w:tc>
          <w:tcPr>
            <w:tcW w:w="1680" w:type="pct"/>
            <w:tcBorders>
              <w:top w:val="single" w:color="auto" w:sz="4" w:space="0"/>
              <w:left w:val="single" w:color="auto" w:sz="4" w:space="0"/>
              <w:bottom w:val="single" w:color="auto" w:sz="4" w:space="0"/>
              <w:right w:val="single" w:color="auto" w:sz="12" w:space="0"/>
            </w:tcBorders>
            <w:vAlign w:val="center"/>
          </w:tcPr>
          <w:p>
            <w:pPr>
              <w:snapToGrid w:val="0"/>
              <w:jc w:val="center"/>
              <w:rPr>
                <w:rFonts w:ascii="宋体" w:hAnsi="宋体"/>
                <w:color w:val="auto"/>
                <w:sz w:val="24"/>
                <w:highlight w:val="none"/>
              </w:rPr>
            </w:pPr>
            <w:r>
              <w:rPr>
                <w:rFonts w:hint="eastAsia" w:asciiTheme="minorEastAsia" w:hAnsiTheme="minorEastAsia" w:eastAsiaTheme="minorEastAsia"/>
                <w:color w:val="auto"/>
                <w:sz w:val="24"/>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402" w:type="pct"/>
            <w:tcBorders>
              <w:left w:val="single" w:color="auto" w:sz="12" w:space="0"/>
              <w:right w:val="single" w:color="auto" w:sz="4" w:space="0"/>
            </w:tcBorders>
            <w:vAlign w:val="center"/>
          </w:tcPr>
          <w:p>
            <w:pPr>
              <w:numPr>
                <w:ilvl w:val="0"/>
                <w:numId w:val="93"/>
              </w:numPr>
              <w:snapToGrid w:val="0"/>
              <w:rPr>
                <w:rFonts w:ascii="宋体" w:hAnsi="宋体"/>
                <w:color w:val="auto"/>
                <w:sz w:val="24"/>
                <w:highlight w:val="none"/>
              </w:rPr>
            </w:pPr>
          </w:p>
        </w:tc>
        <w:tc>
          <w:tcPr>
            <w:tcW w:w="2919" w:type="pct"/>
            <w:tcBorders>
              <w:left w:val="single" w:color="auto" w:sz="4" w:space="0"/>
              <w:right w:val="single" w:color="auto" w:sz="4" w:space="0"/>
            </w:tcBorders>
            <w:vAlign w:val="center"/>
          </w:tcPr>
          <w:p>
            <w:pPr>
              <w:snapToGrid w:val="0"/>
              <w:jc w:val="center"/>
              <w:rPr>
                <w:rFonts w:hAnsi="宋体" w:cs="Courier New"/>
                <w:color w:val="auto"/>
                <w:sz w:val="24"/>
                <w:highlight w:val="none"/>
              </w:rPr>
            </w:pPr>
            <w:r>
              <w:rPr>
                <w:rFonts w:hint="eastAsia" w:hAnsi="宋体" w:cs="Courier New"/>
                <w:color w:val="auto"/>
                <w:sz w:val="24"/>
                <w:highlight w:val="none"/>
              </w:rPr>
              <w:t>政策功能情况（如有）</w:t>
            </w:r>
          </w:p>
        </w:tc>
        <w:tc>
          <w:tcPr>
            <w:tcW w:w="1680" w:type="pct"/>
            <w:tcBorders>
              <w:top w:val="single" w:color="auto" w:sz="4" w:space="0"/>
              <w:left w:val="single" w:color="auto" w:sz="4" w:space="0"/>
              <w:bottom w:val="single" w:color="auto" w:sz="4" w:space="0"/>
              <w:right w:val="single" w:color="auto" w:sz="12" w:space="0"/>
            </w:tcBorders>
            <w:vAlign w:val="center"/>
          </w:tcPr>
          <w:p>
            <w:pPr>
              <w:snapToGrid w:val="0"/>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402" w:type="pct"/>
            <w:tcBorders>
              <w:left w:val="single" w:color="auto" w:sz="12" w:space="0"/>
              <w:right w:val="single" w:color="auto" w:sz="4" w:space="0"/>
            </w:tcBorders>
            <w:vAlign w:val="center"/>
          </w:tcPr>
          <w:p>
            <w:pPr>
              <w:numPr>
                <w:ilvl w:val="0"/>
                <w:numId w:val="93"/>
              </w:numPr>
              <w:snapToGrid w:val="0"/>
              <w:rPr>
                <w:rFonts w:ascii="宋体" w:hAnsi="宋体"/>
                <w:color w:val="auto"/>
                <w:sz w:val="24"/>
                <w:highlight w:val="none"/>
              </w:rPr>
            </w:pPr>
          </w:p>
        </w:tc>
        <w:tc>
          <w:tcPr>
            <w:tcW w:w="2919" w:type="pct"/>
            <w:tcBorders>
              <w:left w:val="single" w:color="auto" w:sz="4" w:space="0"/>
              <w:right w:val="single" w:color="auto" w:sz="4" w:space="0"/>
            </w:tcBorders>
            <w:vAlign w:val="center"/>
          </w:tcPr>
          <w:p>
            <w:pPr>
              <w:snapToGrid w:val="0"/>
              <w:jc w:val="center"/>
              <w:rPr>
                <w:rFonts w:hAnsi="宋体" w:cs="Courier New"/>
                <w:color w:val="auto"/>
                <w:sz w:val="24"/>
                <w:highlight w:val="none"/>
              </w:rPr>
            </w:pPr>
            <w:r>
              <w:rPr>
                <w:rFonts w:hint="eastAsia" w:hAnsi="宋体" w:cs="Courier New"/>
                <w:color w:val="auto"/>
                <w:sz w:val="24"/>
                <w:highlight w:val="none"/>
              </w:rPr>
              <w:t>国家级贫困地区农副产品情况（如有）</w:t>
            </w:r>
          </w:p>
        </w:tc>
        <w:tc>
          <w:tcPr>
            <w:tcW w:w="1680" w:type="pct"/>
            <w:tcBorders>
              <w:top w:val="single" w:color="auto" w:sz="4" w:space="0"/>
              <w:left w:val="single" w:color="auto" w:sz="4" w:space="0"/>
              <w:bottom w:val="single" w:color="auto" w:sz="4" w:space="0"/>
              <w:right w:val="single" w:color="auto" w:sz="12" w:space="0"/>
            </w:tcBorders>
            <w:vAlign w:val="center"/>
          </w:tcPr>
          <w:p>
            <w:pPr>
              <w:snapToGrid w:val="0"/>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402" w:type="pct"/>
            <w:tcBorders>
              <w:left w:val="single" w:color="auto" w:sz="12" w:space="0"/>
              <w:bottom w:val="single" w:color="auto" w:sz="12" w:space="0"/>
              <w:right w:val="single" w:color="auto" w:sz="4" w:space="0"/>
            </w:tcBorders>
            <w:vAlign w:val="center"/>
          </w:tcPr>
          <w:p>
            <w:pPr>
              <w:numPr>
                <w:ilvl w:val="0"/>
                <w:numId w:val="93"/>
              </w:numPr>
              <w:snapToGrid w:val="0"/>
              <w:rPr>
                <w:rFonts w:ascii="宋体" w:hAnsi="宋体"/>
                <w:color w:val="auto"/>
                <w:sz w:val="24"/>
                <w:highlight w:val="none"/>
              </w:rPr>
            </w:pPr>
          </w:p>
        </w:tc>
        <w:tc>
          <w:tcPr>
            <w:tcW w:w="2919" w:type="pct"/>
            <w:tcBorders>
              <w:left w:val="single" w:color="auto" w:sz="4" w:space="0"/>
              <w:bottom w:val="single" w:color="auto" w:sz="12" w:space="0"/>
              <w:right w:val="single" w:color="auto" w:sz="4" w:space="0"/>
            </w:tcBorders>
            <w:vAlign w:val="center"/>
          </w:tcPr>
          <w:p>
            <w:pPr>
              <w:snapToGrid w:val="0"/>
              <w:jc w:val="center"/>
              <w:rPr>
                <w:rFonts w:hAnsi="宋体" w:cs="Courier New"/>
                <w:color w:val="auto"/>
                <w:sz w:val="24"/>
                <w:highlight w:val="none"/>
              </w:rPr>
            </w:pPr>
            <w:r>
              <w:rPr>
                <w:rFonts w:hint="eastAsia" w:hAnsi="宋体" w:cs="Courier New"/>
                <w:color w:val="auto"/>
                <w:sz w:val="24"/>
                <w:highlight w:val="none"/>
              </w:rPr>
              <w:t>国家级贫困地区物业服务情况（如有）</w:t>
            </w:r>
          </w:p>
        </w:tc>
        <w:tc>
          <w:tcPr>
            <w:tcW w:w="1680" w:type="pct"/>
            <w:tcBorders>
              <w:top w:val="single" w:color="auto" w:sz="4" w:space="0"/>
              <w:left w:val="single" w:color="auto" w:sz="4" w:space="0"/>
              <w:bottom w:val="single" w:color="auto" w:sz="12" w:space="0"/>
              <w:right w:val="single" w:color="auto" w:sz="12" w:space="0"/>
            </w:tcBorders>
            <w:vAlign w:val="center"/>
          </w:tcPr>
          <w:p>
            <w:pPr>
              <w:snapToGrid w:val="0"/>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 ）页</w:t>
            </w:r>
          </w:p>
        </w:tc>
      </w:tr>
    </w:tbl>
    <w:p>
      <w:pPr>
        <w:pStyle w:val="24"/>
        <w:numPr>
          <w:ilvl w:val="0"/>
          <w:numId w:val="92"/>
        </w:numPr>
        <w:snapToGrid w:val="0"/>
        <w:spacing w:line="360" w:lineRule="auto"/>
        <w:ind w:firstLineChars="0"/>
        <w:jc w:val="center"/>
        <w:rPr>
          <w:rFonts w:ascii="宋体" w:hAnsi="宋体"/>
          <w:b/>
          <w:color w:val="auto"/>
          <w:sz w:val="30"/>
          <w:szCs w:val="30"/>
          <w:highlight w:val="none"/>
        </w:rPr>
      </w:pPr>
      <w:r>
        <w:rPr>
          <w:rFonts w:hint="eastAsia" w:ascii="宋体" w:hAnsi="宋体"/>
          <w:b/>
          <w:color w:val="auto"/>
          <w:sz w:val="30"/>
          <w:szCs w:val="30"/>
          <w:highlight w:val="none"/>
        </w:rPr>
        <w:t>资格性自查表</w:t>
      </w:r>
    </w:p>
    <w:tbl>
      <w:tblPr>
        <w:tblStyle w:val="16"/>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150" w:type="dxa"/>
          <w:left w:w="150" w:type="dxa"/>
          <w:bottom w:w="150" w:type="dxa"/>
          <w:right w:w="150" w:type="dxa"/>
        </w:tblCellMar>
      </w:tblPr>
      <w:tblGrid>
        <w:gridCol w:w="1001"/>
        <w:gridCol w:w="4467"/>
        <w:gridCol w:w="1344"/>
        <w:gridCol w:w="266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249" w:hRule="atLeast"/>
        </w:trPr>
        <w:tc>
          <w:tcPr>
            <w:tcW w:w="527" w:type="pct"/>
          </w:tcPr>
          <w:p>
            <w:pPr>
              <w:snapToGrid w:val="0"/>
              <w:spacing w:line="264" w:lineRule="auto"/>
              <w:jc w:val="center"/>
              <w:rPr>
                <w:rStyle w:val="19"/>
                <w:rFonts w:asciiTheme="majorEastAsia" w:hAnsiTheme="majorEastAsia" w:eastAsiaTheme="majorEastAsia"/>
                <w:color w:val="auto"/>
                <w:sz w:val="24"/>
                <w:highlight w:val="none"/>
              </w:rPr>
            </w:pPr>
            <w:r>
              <w:rPr>
                <w:rFonts w:hint="eastAsia" w:asciiTheme="majorEastAsia" w:hAnsiTheme="majorEastAsia" w:eastAsiaTheme="majorEastAsia"/>
                <w:b/>
                <w:color w:val="auto"/>
                <w:sz w:val="24"/>
                <w:highlight w:val="none"/>
              </w:rPr>
              <w:t>序号</w:t>
            </w:r>
          </w:p>
        </w:tc>
        <w:tc>
          <w:tcPr>
            <w:tcW w:w="2356" w:type="pct"/>
            <w:vAlign w:val="center"/>
          </w:tcPr>
          <w:p>
            <w:pPr>
              <w:snapToGrid w:val="0"/>
              <w:spacing w:line="264" w:lineRule="auto"/>
              <w:jc w:val="center"/>
              <w:rPr>
                <w:rFonts w:cs="宋体" w:asciiTheme="majorEastAsia" w:hAnsiTheme="majorEastAsia" w:eastAsiaTheme="majorEastAsia"/>
                <w:color w:val="auto"/>
                <w:sz w:val="24"/>
                <w:highlight w:val="none"/>
              </w:rPr>
            </w:pPr>
            <w:r>
              <w:rPr>
                <w:rStyle w:val="19"/>
                <w:rFonts w:hint="eastAsia" w:asciiTheme="majorEastAsia" w:hAnsiTheme="majorEastAsia" w:eastAsiaTheme="majorEastAsia"/>
                <w:color w:val="auto"/>
                <w:sz w:val="24"/>
                <w:highlight w:val="none"/>
              </w:rPr>
              <w:t>招标文件要求</w:t>
            </w:r>
          </w:p>
        </w:tc>
        <w:tc>
          <w:tcPr>
            <w:tcW w:w="708" w:type="pct"/>
            <w:vAlign w:val="center"/>
          </w:tcPr>
          <w:p>
            <w:pPr>
              <w:snapToGrid w:val="0"/>
              <w:spacing w:line="264" w:lineRule="auto"/>
              <w:jc w:val="center"/>
              <w:rPr>
                <w:rFonts w:cs="宋体" w:asciiTheme="majorEastAsia" w:hAnsiTheme="majorEastAsia" w:eastAsiaTheme="majorEastAsia"/>
                <w:color w:val="auto"/>
                <w:sz w:val="24"/>
                <w:highlight w:val="none"/>
              </w:rPr>
            </w:pPr>
            <w:r>
              <w:rPr>
                <w:rStyle w:val="19"/>
                <w:rFonts w:hint="eastAsia" w:asciiTheme="majorEastAsia" w:hAnsiTheme="majorEastAsia" w:eastAsiaTheme="majorEastAsia"/>
                <w:color w:val="auto"/>
                <w:sz w:val="24"/>
                <w:highlight w:val="none"/>
              </w:rPr>
              <w:t>自查结论</w:t>
            </w:r>
          </w:p>
        </w:tc>
        <w:tc>
          <w:tcPr>
            <w:tcW w:w="1407" w:type="pct"/>
            <w:vAlign w:val="center"/>
          </w:tcPr>
          <w:p>
            <w:pPr>
              <w:snapToGrid w:val="0"/>
              <w:spacing w:line="264" w:lineRule="auto"/>
              <w:jc w:val="center"/>
              <w:rPr>
                <w:rFonts w:cs="宋体" w:asciiTheme="majorEastAsia" w:hAnsiTheme="majorEastAsia" w:eastAsiaTheme="majorEastAsia"/>
                <w:color w:val="auto"/>
                <w:sz w:val="24"/>
                <w:highlight w:val="none"/>
              </w:rPr>
            </w:pPr>
            <w:r>
              <w:rPr>
                <w:rFonts w:hint="eastAsia" w:asciiTheme="majorEastAsia" w:hAnsiTheme="majorEastAsia" w:eastAsiaTheme="majorEastAsia"/>
                <w:b/>
                <w:color w:val="auto"/>
                <w:sz w:val="24"/>
                <w:highlight w:val="none"/>
              </w:rPr>
              <w:t>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373" w:hRule="atLeast"/>
        </w:trPr>
        <w:tc>
          <w:tcPr>
            <w:tcW w:w="527" w:type="pct"/>
            <w:vAlign w:val="center"/>
          </w:tcPr>
          <w:p>
            <w:pPr>
              <w:pStyle w:val="24"/>
              <w:snapToGrid w:val="0"/>
              <w:spacing w:line="264" w:lineRule="auto"/>
              <w:ind w:firstLine="0" w:firstLineChars="0"/>
              <w:rPr>
                <w:rFonts w:asciiTheme="majorEastAsia" w:hAnsiTheme="majorEastAsia" w:eastAsiaTheme="majorEastAsia"/>
                <w:bCs/>
                <w:color w:val="auto"/>
                <w:sz w:val="24"/>
                <w:highlight w:val="none"/>
              </w:rPr>
            </w:pPr>
            <w:r>
              <w:rPr>
                <w:rFonts w:hint="eastAsia" w:asciiTheme="majorEastAsia" w:hAnsiTheme="majorEastAsia" w:eastAsiaTheme="majorEastAsia"/>
                <w:bCs/>
                <w:color w:val="auto"/>
                <w:sz w:val="24"/>
                <w:highlight w:val="none"/>
              </w:rPr>
              <w:t>（一）</w:t>
            </w:r>
          </w:p>
        </w:tc>
        <w:tc>
          <w:tcPr>
            <w:tcW w:w="4472" w:type="pct"/>
            <w:gridSpan w:val="3"/>
            <w:vAlign w:val="center"/>
          </w:tcPr>
          <w:p>
            <w:pPr>
              <w:snapToGrid w:val="0"/>
              <w:spacing w:line="264" w:lineRule="auto"/>
              <w:jc w:val="left"/>
              <w:rPr>
                <w:rFonts w:asciiTheme="majorEastAsia" w:hAnsiTheme="majorEastAsia" w:eastAsiaTheme="majorEastAsia"/>
                <w:color w:val="auto"/>
                <w:sz w:val="24"/>
                <w:highlight w:val="none"/>
              </w:rPr>
            </w:pPr>
            <w:r>
              <w:rPr>
                <w:rFonts w:hint="eastAsia" w:asciiTheme="minorEastAsia" w:hAnsiTheme="minorEastAsia" w:eastAsiaTheme="minorEastAsia"/>
                <w:bCs/>
                <w:color w:val="auto"/>
                <w:sz w:val="24"/>
                <w:highlight w:val="none"/>
              </w:rPr>
              <w:t>具备《中华人民共和国政府采购法》第二十二条、《政府购买服务管理办法》第六条、《国务院办公厅关于政府向社会力量购买服务的指导意见》第三点第（二）项规定的条件：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721" w:hRule="atLeast"/>
        </w:trPr>
        <w:tc>
          <w:tcPr>
            <w:tcW w:w="527" w:type="pct"/>
            <w:vAlign w:val="center"/>
          </w:tcPr>
          <w:p>
            <w:pPr>
              <w:pStyle w:val="24"/>
              <w:numPr>
                <w:ilvl w:val="0"/>
                <w:numId w:val="94"/>
              </w:numPr>
              <w:tabs>
                <w:tab w:val="left" w:pos="426"/>
              </w:tabs>
              <w:snapToGrid w:val="0"/>
              <w:spacing w:line="264" w:lineRule="auto"/>
              <w:ind w:firstLineChars="0"/>
              <w:rPr>
                <w:rFonts w:asciiTheme="majorEastAsia" w:hAnsiTheme="majorEastAsia" w:eastAsiaTheme="majorEastAsia"/>
                <w:bCs/>
                <w:color w:val="auto"/>
                <w:sz w:val="24"/>
                <w:highlight w:val="none"/>
              </w:rPr>
            </w:pPr>
          </w:p>
        </w:tc>
        <w:tc>
          <w:tcPr>
            <w:tcW w:w="2356" w:type="pct"/>
            <w:vAlign w:val="center"/>
          </w:tcPr>
          <w:p>
            <w:pPr>
              <w:pStyle w:val="24"/>
              <w:numPr>
                <w:ilvl w:val="0"/>
                <w:numId w:val="95"/>
              </w:numPr>
              <w:tabs>
                <w:tab w:val="left" w:pos="612"/>
              </w:tabs>
              <w:snapToGrid w:val="0"/>
              <w:spacing w:line="288" w:lineRule="auto"/>
              <w:ind w:left="0" w:leftChars="0"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投标人为依法在市场监管部门（原工商部门）或行业主管部门登记成立的企业、机构。企业法人,提供企业法人营业执照复印件；</w:t>
            </w:r>
            <w:r>
              <w:rPr>
                <w:rFonts w:cs="宋体" w:asciiTheme="minorEastAsia" w:hAnsiTheme="minorEastAsia" w:eastAsiaTheme="minorEastAsia"/>
                <w:color w:val="auto"/>
                <w:sz w:val="24"/>
                <w:highlight w:val="none"/>
              </w:rPr>
              <w:t>会计师事务所、律师事务所等社会中介机构</w:t>
            </w:r>
            <w:r>
              <w:rPr>
                <w:rFonts w:hint="eastAsia" w:cs="宋体" w:asciiTheme="minorEastAsia" w:hAnsiTheme="minorEastAsia" w:eastAsiaTheme="minorEastAsia"/>
                <w:color w:val="auto"/>
                <w:sz w:val="24"/>
                <w:highlight w:val="none"/>
              </w:rPr>
              <w:t>，提供执业许可证复印件；</w:t>
            </w:r>
          </w:p>
          <w:p>
            <w:pPr>
              <w:pStyle w:val="24"/>
              <w:numPr>
                <w:ilvl w:val="0"/>
                <w:numId w:val="95"/>
              </w:numPr>
              <w:tabs>
                <w:tab w:val="left" w:pos="612"/>
              </w:tabs>
              <w:snapToGrid w:val="0"/>
              <w:spacing w:line="288" w:lineRule="auto"/>
              <w:ind w:left="0" w:leftChars="0"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投标人为公益二类或从事生产经营活动的事业单位，提供事业单位法人证书复印件；</w:t>
            </w:r>
          </w:p>
          <w:p>
            <w:pPr>
              <w:pStyle w:val="24"/>
              <w:numPr>
                <w:ilvl w:val="0"/>
                <w:numId w:val="95"/>
              </w:numPr>
              <w:tabs>
                <w:tab w:val="left" w:pos="612"/>
              </w:tabs>
              <w:snapToGrid w:val="0"/>
              <w:spacing w:line="288" w:lineRule="auto"/>
              <w:ind w:left="0" w:leftChars="0"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投标人为社会组织（不含由财政拨款保障的群团组织），提供社会组织的登记证书或法人登记证书复印件；</w:t>
            </w:r>
          </w:p>
          <w:p>
            <w:pPr>
              <w:pStyle w:val="24"/>
              <w:numPr>
                <w:ilvl w:val="0"/>
                <w:numId w:val="95"/>
              </w:numPr>
              <w:tabs>
                <w:tab w:val="left" w:pos="612"/>
              </w:tabs>
              <w:snapToGrid w:val="0"/>
              <w:spacing w:line="288" w:lineRule="auto"/>
              <w:ind w:left="0" w:leftChars="0"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投标人为农村集体经济组织，提供农村集体经济组织登记证书复印件；</w:t>
            </w:r>
          </w:p>
          <w:p>
            <w:pPr>
              <w:pStyle w:val="24"/>
              <w:numPr>
                <w:ilvl w:val="0"/>
                <w:numId w:val="95"/>
              </w:numPr>
              <w:tabs>
                <w:tab w:val="left" w:pos="612"/>
              </w:tabs>
              <w:snapToGrid w:val="0"/>
              <w:spacing w:line="288" w:lineRule="auto"/>
              <w:ind w:left="0" w:leftChars="0"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投标人为基层群众性自治组织，提供基层群众性自治组织特别法人统一社会信用代码证书复印件；</w:t>
            </w:r>
          </w:p>
          <w:p>
            <w:pPr>
              <w:pStyle w:val="24"/>
              <w:numPr>
                <w:ilvl w:val="0"/>
                <w:numId w:val="95"/>
              </w:numPr>
              <w:tabs>
                <w:tab w:val="left" w:pos="612"/>
              </w:tabs>
              <w:snapToGrid w:val="0"/>
              <w:spacing w:line="288" w:lineRule="auto"/>
              <w:ind w:left="0" w:leftChars="0" w:firstLine="0" w:firstLineChars="0"/>
              <w:rPr>
                <w:rFonts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投标人为自然人，提供</w:t>
            </w:r>
            <w:r>
              <w:rPr>
                <w:rFonts w:hint="eastAsia" w:asciiTheme="minorEastAsia" w:hAnsiTheme="minorEastAsia" w:eastAsiaTheme="minorEastAsia"/>
                <w:color w:val="auto"/>
                <w:sz w:val="24"/>
                <w:highlight w:val="none"/>
              </w:rPr>
              <w:t>自然人身份证明复印件；</w:t>
            </w:r>
          </w:p>
          <w:p>
            <w:pPr>
              <w:pStyle w:val="24"/>
              <w:numPr>
                <w:ilvl w:val="0"/>
                <w:numId w:val="95"/>
              </w:numPr>
              <w:tabs>
                <w:tab w:val="left" w:pos="612"/>
              </w:tabs>
              <w:snapToGrid w:val="0"/>
              <w:spacing w:line="288" w:lineRule="auto"/>
              <w:ind w:left="0" w:leftChars="0" w:firstLine="0" w:firstLineChars="0"/>
              <w:rPr>
                <w:rFonts w:asciiTheme="minorEastAsia" w:hAnsiTheme="minorEastAsia" w:eastAsiaTheme="minorEastAsia"/>
                <w:bCs/>
                <w:color w:val="auto"/>
                <w:sz w:val="24"/>
                <w:highlight w:val="none"/>
              </w:rPr>
            </w:pPr>
            <w:r>
              <w:rPr>
                <w:rFonts w:hint="eastAsia" w:cs="宋体" w:asciiTheme="minorEastAsia" w:hAnsiTheme="minorEastAsia" w:eastAsiaTheme="minorEastAsia"/>
                <w:color w:val="auto"/>
                <w:sz w:val="24"/>
                <w:highlight w:val="none"/>
              </w:rPr>
              <w:t>如国家另有规定的，则从其规定。</w:t>
            </w:r>
          </w:p>
        </w:tc>
        <w:tc>
          <w:tcPr>
            <w:tcW w:w="708" w:type="pct"/>
            <w:vAlign w:val="center"/>
          </w:tcPr>
          <w:p>
            <w:pPr>
              <w:snapToGrid w:val="0"/>
              <w:spacing w:line="264" w:lineRule="auto"/>
              <w:rPr>
                <w:rFonts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 xml:space="preserve">通过 </w:t>
            </w:r>
          </w:p>
          <w:p>
            <w:pPr>
              <w:snapToGrid w:val="0"/>
              <w:spacing w:line="264" w:lineRule="auto"/>
              <w:rPr>
                <w:rFonts w:cs="Arial"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不通过</w:t>
            </w:r>
          </w:p>
        </w:tc>
        <w:tc>
          <w:tcPr>
            <w:tcW w:w="1407" w:type="pct"/>
            <w:vAlign w:val="center"/>
          </w:tcPr>
          <w:p>
            <w:pPr>
              <w:snapToGrid w:val="0"/>
              <w:spacing w:line="264" w:lineRule="auto"/>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721" w:hRule="atLeast"/>
        </w:trPr>
        <w:tc>
          <w:tcPr>
            <w:tcW w:w="527" w:type="pct"/>
            <w:vAlign w:val="center"/>
          </w:tcPr>
          <w:p>
            <w:pPr>
              <w:pStyle w:val="24"/>
              <w:snapToGrid w:val="0"/>
              <w:spacing w:line="264" w:lineRule="auto"/>
              <w:ind w:firstLine="0" w:firstLineChars="0"/>
              <w:rPr>
                <w:rFonts w:asciiTheme="majorEastAsia" w:hAnsiTheme="majorEastAsia" w:eastAsiaTheme="majorEastAsia"/>
                <w:bCs/>
                <w:color w:val="auto"/>
                <w:sz w:val="24"/>
                <w:highlight w:val="none"/>
              </w:rPr>
            </w:pPr>
            <w:r>
              <w:rPr>
                <w:rFonts w:hint="eastAsia" w:asciiTheme="majorEastAsia" w:hAnsiTheme="majorEastAsia" w:eastAsiaTheme="majorEastAsia"/>
                <w:bCs/>
                <w:color w:val="auto"/>
                <w:sz w:val="24"/>
                <w:highlight w:val="none"/>
              </w:rPr>
              <w:t>（</w:t>
            </w:r>
            <w:r>
              <w:rPr>
                <w:rFonts w:asciiTheme="majorEastAsia" w:hAnsiTheme="majorEastAsia" w:eastAsiaTheme="majorEastAsia"/>
                <w:bCs/>
                <w:color w:val="auto"/>
                <w:sz w:val="24"/>
                <w:highlight w:val="none"/>
              </w:rPr>
              <w:t>1</w:t>
            </w:r>
            <w:r>
              <w:rPr>
                <w:rFonts w:hint="eastAsia" w:asciiTheme="majorEastAsia" w:hAnsiTheme="majorEastAsia" w:eastAsiaTheme="majorEastAsia"/>
                <w:bCs/>
                <w:color w:val="auto"/>
                <w:sz w:val="24"/>
                <w:highlight w:val="none"/>
              </w:rPr>
              <w:t>）</w:t>
            </w:r>
          </w:p>
        </w:tc>
        <w:tc>
          <w:tcPr>
            <w:tcW w:w="2356" w:type="pct"/>
            <w:vAlign w:val="center"/>
          </w:tcPr>
          <w:p>
            <w:pPr>
              <w:tabs>
                <w:tab w:val="left" w:pos="612"/>
              </w:tabs>
              <w:snapToGrid w:val="0"/>
              <w:spacing w:line="288" w:lineRule="auto"/>
              <w:rPr>
                <w:rFonts w:cs="宋体" w:asciiTheme="minorEastAsia" w:hAnsiTheme="minorEastAsia" w:eastAsiaTheme="minorEastAsia"/>
                <w:color w:val="auto"/>
                <w:sz w:val="24"/>
                <w:highlight w:val="none"/>
              </w:rPr>
            </w:pPr>
            <w:r>
              <w:rPr>
                <w:rFonts w:hint="eastAsia" w:cs="宋体" w:asciiTheme="majorEastAsia" w:hAnsiTheme="majorEastAsia" w:eastAsiaTheme="majorEastAsia"/>
                <w:color w:val="auto"/>
                <w:sz w:val="24"/>
                <w:highlight w:val="none"/>
              </w:rPr>
              <w:t>投标供应商如果有名称变更的，应提供由行政主管部门出具的变更证明文件。</w:t>
            </w:r>
          </w:p>
        </w:tc>
        <w:tc>
          <w:tcPr>
            <w:tcW w:w="708" w:type="pct"/>
            <w:vAlign w:val="center"/>
          </w:tcPr>
          <w:p>
            <w:pPr>
              <w:snapToGrid w:val="0"/>
              <w:spacing w:line="264" w:lineRule="auto"/>
              <w:rPr>
                <w:rFonts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通过</w:t>
            </w:r>
          </w:p>
          <w:p>
            <w:pPr>
              <w:snapToGrid w:val="0"/>
              <w:spacing w:line="264" w:lineRule="auto"/>
              <w:rPr>
                <w:rFonts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不通过</w:t>
            </w:r>
          </w:p>
          <w:p>
            <w:pPr>
              <w:snapToGrid w:val="0"/>
              <w:spacing w:line="264" w:lineRule="auto"/>
              <w:rPr>
                <w:rFonts w:cs="Arial"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不适用</w:t>
            </w:r>
          </w:p>
        </w:tc>
        <w:tc>
          <w:tcPr>
            <w:tcW w:w="1407" w:type="pct"/>
            <w:vAlign w:val="center"/>
          </w:tcPr>
          <w:p>
            <w:pPr>
              <w:snapToGrid w:val="0"/>
              <w:spacing w:line="264" w:lineRule="auto"/>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721" w:hRule="atLeast"/>
        </w:trPr>
        <w:tc>
          <w:tcPr>
            <w:tcW w:w="527" w:type="pct"/>
            <w:vAlign w:val="center"/>
          </w:tcPr>
          <w:p>
            <w:pPr>
              <w:pStyle w:val="24"/>
              <w:snapToGrid w:val="0"/>
              <w:spacing w:line="264" w:lineRule="auto"/>
              <w:ind w:firstLine="0" w:firstLineChars="0"/>
              <w:rPr>
                <w:rFonts w:asciiTheme="majorEastAsia" w:hAnsiTheme="majorEastAsia" w:eastAsiaTheme="majorEastAsia"/>
                <w:bCs/>
                <w:color w:val="auto"/>
                <w:sz w:val="24"/>
                <w:highlight w:val="none"/>
              </w:rPr>
            </w:pPr>
            <w:r>
              <w:rPr>
                <w:rFonts w:hint="eastAsia" w:asciiTheme="majorEastAsia" w:hAnsiTheme="majorEastAsia" w:eastAsiaTheme="majorEastAsia"/>
                <w:bCs/>
                <w:color w:val="auto"/>
                <w:sz w:val="24"/>
                <w:highlight w:val="none"/>
              </w:rPr>
              <w:t>（2）</w:t>
            </w:r>
          </w:p>
        </w:tc>
        <w:tc>
          <w:tcPr>
            <w:tcW w:w="2356" w:type="pct"/>
            <w:vAlign w:val="center"/>
          </w:tcPr>
          <w:p>
            <w:pPr>
              <w:tabs>
                <w:tab w:val="left" w:pos="612"/>
              </w:tabs>
              <w:snapToGrid w:val="0"/>
              <w:spacing w:line="288" w:lineRule="auto"/>
              <w:rPr>
                <w:rFonts w:cs="宋体" w:asciiTheme="minorEastAsia" w:hAnsiTheme="minorEastAsia" w:eastAsiaTheme="minorEastAsia"/>
                <w:color w:val="auto"/>
                <w:sz w:val="24"/>
                <w:highlight w:val="none"/>
              </w:rPr>
            </w:pPr>
            <w:r>
              <w:rPr>
                <w:rFonts w:hint="eastAsia" w:ascii="宋体" w:hAnsi="宋体" w:cs="宋体"/>
                <w:color w:val="auto"/>
                <w:sz w:val="24"/>
                <w:highlight w:val="none"/>
              </w:rPr>
              <w:t>分支机构投标，须取得</w:t>
            </w:r>
            <w:r>
              <w:rPr>
                <w:rFonts w:hint="eastAsia" w:ascii="宋体" w:hAnsi="宋体" w:cs="黑体"/>
                <w:color w:val="auto"/>
                <w:sz w:val="24"/>
                <w:highlight w:val="none"/>
              </w:rPr>
              <w:t>具有法人资格的总公司</w:t>
            </w:r>
            <w:r>
              <w:rPr>
                <w:rStyle w:val="23"/>
                <w:rFonts w:hint="eastAsia" w:ascii="宋体" w:hAnsi="宋体"/>
                <w:color w:val="auto"/>
                <w:sz w:val="24"/>
                <w:szCs w:val="24"/>
                <w:highlight w:val="none"/>
              </w:rPr>
              <w:t>（总所）</w:t>
            </w:r>
            <w:r>
              <w:rPr>
                <w:rFonts w:hint="eastAsia" w:ascii="宋体" w:hAnsi="宋体" w:cs="黑体"/>
                <w:color w:val="auto"/>
                <w:sz w:val="24"/>
                <w:highlight w:val="none"/>
              </w:rPr>
              <w:t>出具给分支机构的授权书，并提供总公司</w:t>
            </w:r>
            <w:r>
              <w:rPr>
                <w:rStyle w:val="23"/>
                <w:rFonts w:hint="eastAsia" w:ascii="宋体" w:hAnsi="宋体"/>
                <w:color w:val="auto"/>
                <w:sz w:val="24"/>
                <w:szCs w:val="24"/>
                <w:highlight w:val="none"/>
              </w:rPr>
              <w:t>（总所）</w:t>
            </w:r>
            <w:r>
              <w:rPr>
                <w:rFonts w:hint="eastAsia" w:ascii="宋体" w:hAnsi="宋体" w:cs="黑体"/>
                <w:color w:val="auto"/>
                <w:sz w:val="24"/>
                <w:highlight w:val="none"/>
              </w:rPr>
              <w:t>和分支机构的营业执照（执业许可证）复印件。</w:t>
            </w:r>
            <w:r>
              <w:rPr>
                <w:rStyle w:val="23"/>
                <w:rFonts w:hint="eastAsia" w:ascii="宋体" w:hAnsi="宋体"/>
                <w:color w:val="auto"/>
                <w:sz w:val="24"/>
                <w:szCs w:val="24"/>
                <w:highlight w:val="none"/>
              </w:rPr>
              <w:t>已由总公司（总所）授权的，总公司（总所）取得的相关资质证书对分支机构有效，法律法规或者行业另有规定的除外。</w:t>
            </w:r>
          </w:p>
        </w:tc>
        <w:tc>
          <w:tcPr>
            <w:tcW w:w="708" w:type="pct"/>
            <w:vAlign w:val="center"/>
          </w:tcPr>
          <w:p>
            <w:pPr>
              <w:snapToGrid w:val="0"/>
              <w:spacing w:line="264" w:lineRule="auto"/>
              <w:rPr>
                <w:rFonts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通过</w:t>
            </w:r>
          </w:p>
          <w:p>
            <w:pPr>
              <w:snapToGrid w:val="0"/>
              <w:spacing w:line="264" w:lineRule="auto"/>
              <w:rPr>
                <w:rFonts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不通过</w:t>
            </w:r>
          </w:p>
          <w:p>
            <w:pPr>
              <w:snapToGrid w:val="0"/>
              <w:spacing w:line="264" w:lineRule="auto"/>
              <w:rPr>
                <w:rFonts w:cs="Arial"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不适用</w:t>
            </w:r>
          </w:p>
        </w:tc>
        <w:tc>
          <w:tcPr>
            <w:tcW w:w="1407" w:type="pct"/>
            <w:vAlign w:val="center"/>
          </w:tcPr>
          <w:p>
            <w:pPr>
              <w:snapToGrid w:val="0"/>
              <w:spacing w:line="264" w:lineRule="auto"/>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403" w:hRule="atLeast"/>
        </w:trPr>
        <w:tc>
          <w:tcPr>
            <w:tcW w:w="527" w:type="pct"/>
            <w:vAlign w:val="center"/>
          </w:tcPr>
          <w:p>
            <w:pPr>
              <w:pStyle w:val="24"/>
              <w:numPr>
                <w:ilvl w:val="0"/>
                <w:numId w:val="94"/>
              </w:numPr>
              <w:snapToGrid w:val="0"/>
              <w:spacing w:line="264" w:lineRule="auto"/>
              <w:ind w:firstLineChars="0"/>
              <w:rPr>
                <w:rFonts w:asciiTheme="majorEastAsia" w:hAnsiTheme="majorEastAsia" w:eastAsiaTheme="majorEastAsia"/>
                <w:bCs/>
                <w:color w:val="auto"/>
                <w:sz w:val="24"/>
                <w:highlight w:val="none"/>
              </w:rPr>
            </w:pPr>
          </w:p>
        </w:tc>
        <w:tc>
          <w:tcPr>
            <w:tcW w:w="2356" w:type="pct"/>
            <w:vAlign w:val="center"/>
          </w:tcPr>
          <w:p>
            <w:pPr>
              <w:snapToGrid w:val="0"/>
              <w:spacing w:line="264" w:lineRule="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提供</w:t>
            </w:r>
            <w:r>
              <w:rPr>
                <w:rFonts w:hint="eastAsia" w:asciiTheme="minorEastAsia" w:hAnsiTheme="minorEastAsia" w:eastAsiaTheme="minorEastAsia"/>
                <w:color w:val="auto"/>
                <w:sz w:val="24"/>
                <w:highlight w:val="none"/>
              </w:rPr>
              <w:t>具备提供服务所必需的设施、人员和专业技术的能力</w:t>
            </w:r>
            <w:r>
              <w:rPr>
                <w:rFonts w:hint="eastAsia" w:asciiTheme="minorEastAsia" w:hAnsiTheme="minorEastAsia" w:eastAsiaTheme="minorEastAsia"/>
                <w:bCs/>
                <w:color w:val="auto"/>
                <w:sz w:val="24"/>
                <w:highlight w:val="none"/>
              </w:rPr>
              <w:t>的书面声明；（提供《投标人资格声明函》）</w:t>
            </w:r>
          </w:p>
        </w:tc>
        <w:tc>
          <w:tcPr>
            <w:tcW w:w="708" w:type="pct"/>
            <w:vAlign w:val="center"/>
          </w:tcPr>
          <w:p>
            <w:pPr>
              <w:snapToGrid w:val="0"/>
              <w:spacing w:line="264" w:lineRule="auto"/>
              <w:rPr>
                <w:rFonts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 xml:space="preserve">通过 </w:t>
            </w:r>
          </w:p>
          <w:p>
            <w:pPr>
              <w:snapToGrid w:val="0"/>
              <w:spacing w:line="264" w:lineRule="auto"/>
              <w:rPr>
                <w:rFonts w:cs="Arial"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不通过</w:t>
            </w:r>
          </w:p>
        </w:tc>
        <w:tc>
          <w:tcPr>
            <w:tcW w:w="1407" w:type="pct"/>
            <w:vAlign w:val="center"/>
          </w:tcPr>
          <w:p>
            <w:pPr>
              <w:snapToGrid w:val="0"/>
              <w:spacing w:line="264" w:lineRule="auto"/>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721" w:hRule="atLeast"/>
        </w:trPr>
        <w:tc>
          <w:tcPr>
            <w:tcW w:w="527" w:type="pct"/>
            <w:vAlign w:val="center"/>
          </w:tcPr>
          <w:p>
            <w:pPr>
              <w:pStyle w:val="24"/>
              <w:numPr>
                <w:ilvl w:val="0"/>
                <w:numId w:val="94"/>
              </w:numPr>
              <w:snapToGrid w:val="0"/>
              <w:spacing w:line="264" w:lineRule="auto"/>
              <w:ind w:firstLineChars="0"/>
              <w:rPr>
                <w:rFonts w:asciiTheme="majorEastAsia" w:hAnsiTheme="majorEastAsia" w:eastAsiaTheme="majorEastAsia"/>
                <w:bCs/>
                <w:color w:val="auto"/>
                <w:sz w:val="24"/>
                <w:highlight w:val="none"/>
              </w:rPr>
            </w:pPr>
          </w:p>
        </w:tc>
        <w:tc>
          <w:tcPr>
            <w:tcW w:w="2356" w:type="pct"/>
            <w:vAlign w:val="center"/>
          </w:tcPr>
          <w:p>
            <w:pPr>
              <w:tabs>
                <w:tab w:val="left" w:pos="612"/>
              </w:tabs>
              <w:snapToGrid w:val="0"/>
              <w:spacing w:line="288" w:lineRule="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提供</w:t>
            </w:r>
            <w:r>
              <w:rPr>
                <w:rFonts w:hint="eastAsia" w:asciiTheme="minorEastAsia" w:hAnsiTheme="minorEastAsia" w:eastAsiaTheme="minorEastAsia"/>
                <w:bCs/>
                <w:color w:val="auto"/>
                <w:sz w:val="24"/>
                <w:highlight w:val="none"/>
                <w:u w:val="single"/>
              </w:rPr>
              <w:t>2018</w:t>
            </w:r>
            <w:r>
              <w:rPr>
                <w:rFonts w:hint="eastAsia" w:asciiTheme="minorEastAsia" w:hAnsiTheme="minorEastAsia" w:eastAsiaTheme="minorEastAsia"/>
                <w:bCs/>
                <w:color w:val="auto"/>
                <w:sz w:val="24"/>
                <w:highlight w:val="none"/>
              </w:rPr>
              <w:t>年度财务状况报告或</w:t>
            </w:r>
            <w:r>
              <w:rPr>
                <w:rFonts w:hint="eastAsia" w:asciiTheme="minorEastAsia" w:hAnsiTheme="minorEastAsia" w:eastAsiaTheme="minorEastAsia"/>
                <w:bCs/>
                <w:color w:val="auto"/>
                <w:sz w:val="24"/>
                <w:highlight w:val="none"/>
                <w:u w:val="single"/>
              </w:rPr>
              <w:t>2019</w:t>
            </w:r>
            <w:r>
              <w:rPr>
                <w:rFonts w:hint="eastAsia" w:asciiTheme="minorEastAsia" w:hAnsiTheme="minorEastAsia" w:eastAsiaTheme="minorEastAsia"/>
                <w:bCs/>
                <w:color w:val="auto"/>
                <w:sz w:val="24"/>
                <w:highlight w:val="none"/>
              </w:rPr>
              <w:t>年至今任意</w:t>
            </w:r>
            <w:r>
              <w:rPr>
                <w:rFonts w:hint="eastAsia" w:asciiTheme="minorEastAsia" w:hAnsiTheme="minorEastAsia" w:eastAsiaTheme="minorEastAsia"/>
                <w:bCs/>
                <w:color w:val="auto"/>
                <w:sz w:val="24"/>
                <w:highlight w:val="none"/>
                <w:u w:val="single"/>
              </w:rPr>
              <w:t>1</w:t>
            </w:r>
            <w:r>
              <w:rPr>
                <w:rFonts w:hint="eastAsia" w:asciiTheme="minorEastAsia" w:hAnsiTheme="minorEastAsia" w:eastAsiaTheme="minorEastAsia"/>
                <w:bCs/>
                <w:color w:val="auto"/>
                <w:sz w:val="24"/>
                <w:highlight w:val="none"/>
              </w:rPr>
              <w:t>个月的财务状况报告复印件，或银行出具的资信证明材料复印件；</w:t>
            </w:r>
          </w:p>
        </w:tc>
        <w:tc>
          <w:tcPr>
            <w:tcW w:w="708" w:type="pct"/>
            <w:vAlign w:val="center"/>
          </w:tcPr>
          <w:p>
            <w:pPr>
              <w:snapToGrid w:val="0"/>
              <w:spacing w:line="264" w:lineRule="auto"/>
              <w:rPr>
                <w:rFonts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 xml:space="preserve">通过 </w:t>
            </w:r>
          </w:p>
          <w:p>
            <w:pPr>
              <w:snapToGrid w:val="0"/>
              <w:spacing w:line="264" w:lineRule="auto"/>
              <w:rPr>
                <w:rFonts w:cs="Arial"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不通过</w:t>
            </w:r>
          </w:p>
        </w:tc>
        <w:tc>
          <w:tcPr>
            <w:tcW w:w="1407" w:type="pct"/>
            <w:vAlign w:val="center"/>
          </w:tcPr>
          <w:p>
            <w:pPr>
              <w:snapToGrid w:val="0"/>
              <w:spacing w:line="264" w:lineRule="auto"/>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721" w:hRule="atLeast"/>
        </w:trPr>
        <w:tc>
          <w:tcPr>
            <w:tcW w:w="527" w:type="pct"/>
            <w:vAlign w:val="center"/>
          </w:tcPr>
          <w:p>
            <w:pPr>
              <w:pStyle w:val="24"/>
              <w:numPr>
                <w:ilvl w:val="0"/>
                <w:numId w:val="94"/>
              </w:numPr>
              <w:snapToGrid w:val="0"/>
              <w:spacing w:line="264" w:lineRule="auto"/>
              <w:ind w:firstLineChars="0"/>
              <w:rPr>
                <w:rFonts w:asciiTheme="majorEastAsia" w:hAnsiTheme="majorEastAsia" w:eastAsiaTheme="majorEastAsia"/>
                <w:bCs/>
                <w:color w:val="auto"/>
                <w:sz w:val="24"/>
                <w:highlight w:val="none"/>
              </w:rPr>
            </w:pPr>
          </w:p>
        </w:tc>
        <w:tc>
          <w:tcPr>
            <w:tcW w:w="2356" w:type="pct"/>
            <w:vAlign w:val="center"/>
          </w:tcPr>
          <w:p>
            <w:pPr>
              <w:tabs>
                <w:tab w:val="left" w:pos="612"/>
              </w:tabs>
              <w:snapToGrid w:val="0"/>
              <w:spacing w:line="288" w:lineRule="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提供</w:t>
            </w:r>
            <w:r>
              <w:rPr>
                <w:rFonts w:hint="eastAsia" w:asciiTheme="minorEastAsia" w:hAnsiTheme="minorEastAsia" w:eastAsiaTheme="minorEastAsia"/>
                <w:bCs/>
                <w:color w:val="auto"/>
                <w:sz w:val="24"/>
                <w:highlight w:val="none"/>
                <w:u w:val="single"/>
              </w:rPr>
              <w:t>2019</w:t>
            </w:r>
            <w:r>
              <w:rPr>
                <w:rFonts w:hint="eastAsia" w:asciiTheme="minorEastAsia" w:hAnsiTheme="minorEastAsia" w:eastAsiaTheme="minorEastAsia"/>
                <w:bCs/>
                <w:color w:val="auto"/>
                <w:sz w:val="24"/>
                <w:highlight w:val="none"/>
              </w:rPr>
              <w:t>年至今任意</w:t>
            </w:r>
            <w:r>
              <w:rPr>
                <w:rFonts w:hint="eastAsia" w:asciiTheme="minorEastAsia" w:hAnsiTheme="minorEastAsia" w:eastAsiaTheme="minorEastAsia"/>
                <w:bCs/>
                <w:color w:val="auto"/>
                <w:sz w:val="24"/>
                <w:highlight w:val="none"/>
                <w:u w:val="single"/>
              </w:rPr>
              <w:t>1</w:t>
            </w:r>
            <w:r>
              <w:rPr>
                <w:rFonts w:hint="eastAsia" w:asciiTheme="minorEastAsia" w:hAnsiTheme="minorEastAsia" w:eastAsiaTheme="minorEastAsia"/>
                <w:bCs/>
                <w:color w:val="auto"/>
                <w:sz w:val="24"/>
                <w:highlight w:val="none"/>
              </w:rPr>
              <w:t>个月缴纳税收和社会保险的凭据证明材料复印件；如依法免税或不需要缴纳社会保障资金的，应提供相应文件证明；</w:t>
            </w:r>
          </w:p>
        </w:tc>
        <w:tc>
          <w:tcPr>
            <w:tcW w:w="708" w:type="pct"/>
            <w:vAlign w:val="center"/>
          </w:tcPr>
          <w:p>
            <w:pPr>
              <w:snapToGrid w:val="0"/>
              <w:spacing w:line="264" w:lineRule="auto"/>
              <w:rPr>
                <w:rFonts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 xml:space="preserve">通过 </w:t>
            </w:r>
          </w:p>
          <w:p>
            <w:pPr>
              <w:snapToGrid w:val="0"/>
              <w:spacing w:line="264" w:lineRule="auto"/>
              <w:rPr>
                <w:rFonts w:cs="Arial"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不通过</w:t>
            </w:r>
          </w:p>
        </w:tc>
        <w:tc>
          <w:tcPr>
            <w:tcW w:w="1407" w:type="pct"/>
            <w:vAlign w:val="center"/>
          </w:tcPr>
          <w:p>
            <w:pPr>
              <w:snapToGrid w:val="0"/>
              <w:spacing w:line="264" w:lineRule="auto"/>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721" w:hRule="atLeast"/>
        </w:trPr>
        <w:tc>
          <w:tcPr>
            <w:tcW w:w="527" w:type="pct"/>
            <w:vAlign w:val="center"/>
          </w:tcPr>
          <w:p>
            <w:pPr>
              <w:pStyle w:val="24"/>
              <w:numPr>
                <w:ilvl w:val="0"/>
                <w:numId w:val="94"/>
              </w:numPr>
              <w:snapToGrid w:val="0"/>
              <w:spacing w:line="264" w:lineRule="auto"/>
              <w:ind w:firstLineChars="0"/>
              <w:rPr>
                <w:rFonts w:asciiTheme="majorEastAsia" w:hAnsiTheme="majorEastAsia" w:eastAsiaTheme="majorEastAsia"/>
                <w:bCs/>
                <w:color w:val="auto"/>
                <w:sz w:val="24"/>
                <w:highlight w:val="none"/>
              </w:rPr>
            </w:pPr>
          </w:p>
        </w:tc>
        <w:tc>
          <w:tcPr>
            <w:tcW w:w="2356" w:type="pct"/>
            <w:vAlign w:val="center"/>
          </w:tcPr>
          <w:p>
            <w:pPr>
              <w:snapToGrid w:val="0"/>
              <w:spacing w:line="264" w:lineRule="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提供参加政府采购活动前3年内在经营活动中没有重大违法记录的书面声明；（提供《投标人资格声明函》）。</w:t>
            </w:r>
          </w:p>
        </w:tc>
        <w:tc>
          <w:tcPr>
            <w:tcW w:w="708" w:type="pct"/>
            <w:vAlign w:val="center"/>
          </w:tcPr>
          <w:p>
            <w:pPr>
              <w:snapToGrid w:val="0"/>
              <w:spacing w:line="264" w:lineRule="auto"/>
              <w:rPr>
                <w:rFonts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 xml:space="preserve">通过 </w:t>
            </w:r>
          </w:p>
          <w:p>
            <w:pPr>
              <w:snapToGrid w:val="0"/>
              <w:spacing w:line="264" w:lineRule="auto"/>
              <w:rPr>
                <w:rFonts w:cs="Arial"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不通过</w:t>
            </w:r>
          </w:p>
        </w:tc>
        <w:tc>
          <w:tcPr>
            <w:tcW w:w="1407" w:type="pct"/>
            <w:vAlign w:val="center"/>
          </w:tcPr>
          <w:p>
            <w:pPr>
              <w:snapToGrid w:val="0"/>
              <w:spacing w:line="264" w:lineRule="auto"/>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721" w:hRule="atLeast"/>
        </w:trPr>
        <w:tc>
          <w:tcPr>
            <w:tcW w:w="527" w:type="pct"/>
            <w:vAlign w:val="center"/>
          </w:tcPr>
          <w:p>
            <w:pPr>
              <w:pStyle w:val="24"/>
              <w:numPr>
                <w:ilvl w:val="0"/>
                <w:numId w:val="94"/>
              </w:numPr>
              <w:snapToGrid w:val="0"/>
              <w:spacing w:line="264" w:lineRule="auto"/>
              <w:ind w:firstLineChars="0"/>
              <w:rPr>
                <w:rFonts w:asciiTheme="majorEastAsia" w:hAnsiTheme="majorEastAsia" w:eastAsiaTheme="majorEastAsia"/>
                <w:bCs/>
                <w:color w:val="auto"/>
                <w:sz w:val="24"/>
                <w:highlight w:val="none"/>
              </w:rPr>
            </w:pPr>
          </w:p>
        </w:tc>
        <w:tc>
          <w:tcPr>
            <w:tcW w:w="2356" w:type="pct"/>
            <w:vAlign w:val="center"/>
          </w:tcPr>
          <w:p>
            <w:pPr>
              <w:snapToGrid w:val="0"/>
              <w:spacing w:line="264" w:lineRule="auto"/>
              <w:rPr>
                <w:rFonts w:asciiTheme="minorEastAsia" w:hAnsiTheme="minorEastAsia" w:eastAsiaTheme="minorEastAsia"/>
                <w:bCs/>
                <w:color w:val="auto"/>
                <w:sz w:val="24"/>
                <w:highlight w:val="none"/>
              </w:rPr>
            </w:pPr>
            <w:r>
              <w:rPr>
                <w:rFonts w:hint="eastAsia" w:asciiTheme="majorEastAsia" w:hAnsiTheme="majorEastAsia" w:eastAsiaTheme="majorEastAsia"/>
                <w:color w:val="auto"/>
                <w:sz w:val="24"/>
                <w:highlight w:val="none"/>
              </w:rPr>
              <w:t>法律、法规规定其他条件。</w:t>
            </w:r>
            <w:r>
              <w:rPr>
                <w:rFonts w:hint="eastAsia" w:asciiTheme="minorEastAsia" w:hAnsiTheme="minorEastAsia" w:eastAsiaTheme="minorEastAsia"/>
                <w:bCs/>
                <w:color w:val="auto"/>
                <w:sz w:val="24"/>
                <w:highlight w:val="none"/>
              </w:rPr>
              <w:t>（提供《投标人资格声明函》）</w:t>
            </w:r>
          </w:p>
        </w:tc>
        <w:tc>
          <w:tcPr>
            <w:tcW w:w="708" w:type="pct"/>
            <w:vAlign w:val="center"/>
          </w:tcPr>
          <w:p>
            <w:pPr>
              <w:snapToGrid w:val="0"/>
              <w:spacing w:line="264" w:lineRule="auto"/>
              <w:rPr>
                <w:rFonts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 xml:space="preserve">通过 </w:t>
            </w:r>
          </w:p>
          <w:p>
            <w:pPr>
              <w:snapToGrid w:val="0"/>
              <w:spacing w:line="264" w:lineRule="auto"/>
              <w:rPr>
                <w:rFonts w:cs="Arial"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不通过</w:t>
            </w:r>
          </w:p>
        </w:tc>
        <w:tc>
          <w:tcPr>
            <w:tcW w:w="1407" w:type="pct"/>
            <w:vAlign w:val="center"/>
          </w:tcPr>
          <w:p>
            <w:pPr>
              <w:snapToGrid w:val="0"/>
              <w:spacing w:line="264" w:lineRule="auto"/>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721" w:hRule="atLeast"/>
        </w:trPr>
        <w:tc>
          <w:tcPr>
            <w:tcW w:w="527" w:type="pct"/>
            <w:vAlign w:val="center"/>
          </w:tcPr>
          <w:p>
            <w:pPr>
              <w:pStyle w:val="24"/>
              <w:numPr>
                <w:ilvl w:val="0"/>
                <w:numId w:val="96"/>
              </w:numPr>
              <w:snapToGrid w:val="0"/>
              <w:spacing w:line="264" w:lineRule="auto"/>
              <w:ind w:left="420" w:leftChars="0" w:hanging="420" w:firstLineChars="0"/>
              <w:jc w:val="center"/>
              <w:rPr>
                <w:rFonts w:asciiTheme="majorEastAsia" w:hAnsiTheme="majorEastAsia" w:eastAsiaTheme="majorEastAsia"/>
                <w:bCs/>
                <w:color w:val="auto"/>
                <w:sz w:val="24"/>
                <w:highlight w:val="none"/>
              </w:rPr>
            </w:pPr>
          </w:p>
        </w:tc>
        <w:tc>
          <w:tcPr>
            <w:tcW w:w="2356" w:type="pct"/>
            <w:vAlign w:val="center"/>
          </w:tcPr>
          <w:p>
            <w:pPr>
              <w:snapToGrid w:val="0"/>
              <w:spacing w:line="264" w:lineRule="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为采购项目提供整体设计、规范编制或者项目管理、监理、检测等服务的供应商，不得再参加该采购项目同一合同项下的其他采购活动。（提供《投标人资格声明函》）</w:t>
            </w:r>
          </w:p>
        </w:tc>
        <w:tc>
          <w:tcPr>
            <w:tcW w:w="708" w:type="pct"/>
            <w:vAlign w:val="center"/>
          </w:tcPr>
          <w:p>
            <w:pPr>
              <w:snapToGrid w:val="0"/>
              <w:spacing w:line="264" w:lineRule="auto"/>
              <w:rPr>
                <w:rFonts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 xml:space="preserve">通过 </w:t>
            </w:r>
          </w:p>
          <w:p>
            <w:pPr>
              <w:snapToGrid w:val="0"/>
              <w:spacing w:line="264" w:lineRule="auto"/>
              <w:rPr>
                <w:rFonts w:cs="Arial"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不通过</w:t>
            </w:r>
          </w:p>
        </w:tc>
        <w:tc>
          <w:tcPr>
            <w:tcW w:w="1407" w:type="pct"/>
            <w:vAlign w:val="center"/>
          </w:tcPr>
          <w:p>
            <w:pPr>
              <w:snapToGrid w:val="0"/>
              <w:spacing w:line="264" w:lineRule="auto"/>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721" w:hRule="atLeast"/>
        </w:trPr>
        <w:tc>
          <w:tcPr>
            <w:tcW w:w="527" w:type="pct"/>
            <w:vAlign w:val="center"/>
          </w:tcPr>
          <w:p>
            <w:pPr>
              <w:pStyle w:val="24"/>
              <w:numPr>
                <w:ilvl w:val="0"/>
                <w:numId w:val="96"/>
              </w:numPr>
              <w:snapToGrid w:val="0"/>
              <w:spacing w:line="264" w:lineRule="auto"/>
              <w:ind w:left="420" w:leftChars="0" w:hanging="420" w:firstLineChars="0"/>
              <w:jc w:val="center"/>
              <w:rPr>
                <w:rFonts w:asciiTheme="majorEastAsia" w:hAnsiTheme="majorEastAsia" w:eastAsiaTheme="majorEastAsia"/>
                <w:bCs/>
                <w:color w:val="auto"/>
                <w:sz w:val="24"/>
                <w:highlight w:val="none"/>
              </w:rPr>
            </w:pPr>
          </w:p>
        </w:tc>
        <w:tc>
          <w:tcPr>
            <w:tcW w:w="2356" w:type="pct"/>
            <w:vAlign w:val="center"/>
          </w:tcPr>
          <w:p>
            <w:pPr>
              <w:snapToGrid w:val="0"/>
              <w:spacing w:line="264" w:lineRule="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单位负责人为同一人或者存在直接控股、管理关系的不同供应商，不得参加同一合同项下的政府采购活动。（提供《投标人资格声明函》）</w:t>
            </w:r>
          </w:p>
        </w:tc>
        <w:tc>
          <w:tcPr>
            <w:tcW w:w="708" w:type="pct"/>
            <w:vAlign w:val="center"/>
          </w:tcPr>
          <w:p>
            <w:pPr>
              <w:snapToGrid w:val="0"/>
              <w:spacing w:line="264" w:lineRule="auto"/>
              <w:rPr>
                <w:rFonts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 xml:space="preserve">通过 </w:t>
            </w:r>
          </w:p>
          <w:p>
            <w:pPr>
              <w:snapToGrid w:val="0"/>
              <w:spacing w:line="264" w:lineRule="auto"/>
              <w:rPr>
                <w:rFonts w:cs="Arial"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不通过</w:t>
            </w:r>
          </w:p>
        </w:tc>
        <w:tc>
          <w:tcPr>
            <w:tcW w:w="1407" w:type="pct"/>
            <w:vAlign w:val="center"/>
          </w:tcPr>
          <w:p>
            <w:pPr>
              <w:snapToGrid w:val="0"/>
              <w:spacing w:line="264" w:lineRule="auto"/>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721" w:hRule="atLeast"/>
        </w:trPr>
        <w:tc>
          <w:tcPr>
            <w:tcW w:w="527" w:type="pct"/>
            <w:vAlign w:val="center"/>
          </w:tcPr>
          <w:p>
            <w:pPr>
              <w:pStyle w:val="24"/>
              <w:numPr>
                <w:ilvl w:val="0"/>
                <w:numId w:val="96"/>
              </w:numPr>
              <w:snapToGrid w:val="0"/>
              <w:spacing w:line="264" w:lineRule="auto"/>
              <w:ind w:left="420" w:leftChars="0" w:hanging="420" w:firstLineChars="0"/>
              <w:jc w:val="center"/>
              <w:rPr>
                <w:rFonts w:asciiTheme="majorEastAsia" w:hAnsiTheme="majorEastAsia" w:eastAsiaTheme="majorEastAsia"/>
                <w:bCs/>
                <w:color w:val="auto"/>
                <w:sz w:val="24"/>
                <w:highlight w:val="none"/>
              </w:rPr>
            </w:pPr>
          </w:p>
        </w:tc>
        <w:tc>
          <w:tcPr>
            <w:tcW w:w="2356" w:type="pct"/>
            <w:vAlign w:val="center"/>
          </w:tcPr>
          <w:p>
            <w:pPr>
              <w:snapToGrid w:val="0"/>
              <w:spacing w:line="264" w:lineRule="auto"/>
              <w:rPr>
                <w:rFonts w:asciiTheme="minorEastAsia" w:hAnsiTheme="minorEastAsia" w:eastAsiaTheme="minorEastAsia"/>
                <w:bCs/>
                <w:color w:val="auto"/>
                <w:sz w:val="24"/>
                <w:highlight w:val="none"/>
              </w:rPr>
            </w:pPr>
            <w:r>
              <w:rPr>
                <w:rFonts w:asciiTheme="minorEastAsia" w:hAnsiTheme="minorEastAsia" w:eastAsiaTheme="minorEastAsia"/>
                <w:color w:val="auto"/>
                <w:sz w:val="24"/>
                <w:highlight w:val="none"/>
              </w:rPr>
              <w:t>投标人未被列入“信用中国”网站(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Style w:val="21"/>
                <w:rFonts w:asciiTheme="minorEastAsia" w:hAnsiTheme="minorEastAsia" w:eastAsiaTheme="minorEastAsia"/>
                <w:color w:val="auto"/>
                <w:sz w:val="24"/>
                <w:highlight w:val="none"/>
              </w:rPr>
              <w:t>www.creditchina.gov.cn</w:t>
            </w:r>
            <w:r>
              <w:rPr>
                <w:rStyle w:val="21"/>
                <w:rFonts w:asciiTheme="minorEastAsia" w:hAnsiTheme="minorEastAsia" w:eastAsiaTheme="minorEastAsia"/>
                <w:color w:val="auto"/>
                <w:sz w:val="24"/>
                <w:highlight w:val="none"/>
              </w:rPr>
              <w:fldChar w:fldCharType="end"/>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以下任何记录名单之一：①</w:t>
            </w:r>
            <w:r>
              <w:rPr>
                <w:rFonts w:asciiTheme="minorEastAsia" w:hAnsiTheme="minorEastAsia" w:eastAsiaTheme="minorEastAsia"/>
                <w:color w:val="auto"/>
                <w:sz w:val="24"/>
                <w:highlight w:val="none"/>
              </w:rPr>
              <w:t>失信被执行人</w:t>
            </w:r>
            <w:r>
              <w:rPr>
                <w:rFonts w:hint="eastAsia" w:asciiTheme="minorEastAsia" w:hAnsiTheme="minorEastAsia" w:eastAsiaTheme="minorEastAsia"/>
                <w:color w:val="auto"/>
                <w:sz w:val="24"/>
                <w:highlight w:val="none"/>
              </w:rPr>
              <w:t>；②</w:t>
            </w:r>
            <w:r>
              <w:rPr>
                <w:rFonts w:asciiTheme="minorEastAsia" w:hAnsiTheme="minorEastAsia" w:eastAsiaTheme="minorEastAsia"/>
                <w:color w:val="auto"/>
                <w:sz w:val="24"/>
                <w:highlight w:val="none"/>
              </w:rPr>
              <w:t>重大税收违法案件当事人名单</w:t>
            </w:r>
            <w:r>
              <w:rPr>
                <w:rFonts w:hint="eastAsia" w:asciiTheme="minorEastAsia" w:hAnsiTheme="minorEastAsia" w:eastAsiaTheme="minorEastAsia"/>
                <w:color w:val="auto"/>
                <w:sz w:val="24"/>
                <w:highlight w:val="none"/>
              </w:rPr>
              <w:t>；③</w:t>
            </w:r>
            <w:r>
              <w:rPr>
                <w:rFonts w:asciiTheme="minorEastAsia" w:hAnsiTheme="minorEastAsia" w:eastAsiaTheme="minorEastAsia"/>
                <w:color w:val="auto"/>
                <w:sz w:val="24"/>
                <w:highlight w:val="none"/>
              </w:rPr>
              <w:t>政府采购严重违法失信行为</w:t>
            </w:r>
            <w:r>
              <w:rPr>
                <w:rFonts w:hint="eastAsia" w:asciiTheme="minorEastAsia" w:hAnsiTheme="minorEastAsia" w:eastAsiaTheme="minorEastAsia"/>
                <w:color w:val="auto"/>
                <w:sz w:val="24"/>
                <w:highlight w:val="none"/>
              </w:rPr>
              <w:t>。同时，</w:t>
            </w:r>
            <w:r>
              <w:rPr>
                <w:rFonts w:asciiTheme="minorEastAsia" w:hAnsiTheme="minorEastAsia" w:eastAsiaTheme="minorEastAsia"/>
                <w:color w:val="auto"/>
                <w:sz w:val="24"/>
                <w:highlight w:val="none"/>
              </w:rPr>
              <w:t>不处于中国政府采购网(www.ccgp.gov.cn)“政府采购严重违法失信行为信息记录”中的禁止参加政府采购活动期间。</w:t>
            </w:r>
          </w:p>
        </w:tc>
        <w:tc>
          <w:tcPr>
            <w:tcW w:w="708" w:type="pct"/>
            <w:vAlign w:val="center"/>
          </w:tcPr>
          <w:p>
            <w:pPr>
              <w:snapToGrid w:val="0"/>
              <w:spacing w:line="264" w:lineRule="auto"/>
              <w:rPr>
                <w:rFonts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 xml:space="preserve">通过 </w:t>
            </w:r>
          </w:p>
          <w:p>
            <w:pPr>
              <w:snapToGrid w:val="0"/>
              <w:spacing w:line="264" w:lineRule="auto"/>
              <w:rPr>
                <w:rFonts w:cs="Arial"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不通过</w:t>
            </w:r>
          </w:p>
        </w:tc>
        <w:tc>
          <w:tcPr>
            <w:tcW w:w="1407" w:type="pct"/>
            <w:vAlign w:val="center"/>
          </w:tcPr>
          <w:p>
            <w:pPr>
              <w:snapToGrid w:val="0"/>
              <w:spacing w:line="264" w:lineRule="auto"/>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1、由采购人、采购代理机构</w:t>
            </w:r>
            <w:r>
              <w:rPr>
                <w:rFonts w:asciiTheme="minorEastAsia" w:hAnsiTheme="minorEastAsia" w:eastAsiaTheme="minorEastAsia"/>
                <w:color w:val="auto"/>
                <w:sz w:val="24"/>
                <w:highlight w:val="none"/>
              </w:rPr>
              <w:t>于</w:t>
            </w:r>
            <w:r>
              <w:rPr>
                <w:rFonts w:hint="eastAsia" w:asciiTheme="minorEastAsia" w:hAnsiTheme="minorEastAsia" w:eastAsiaTheme="minorEastAsia"/>
                <w:color w:val="auto"/>
                <w:sz w:val="24"/>
                <w:highlight w:val="none"/>
              </w:rPr>
              <w:t>投标截止日</w:t>
            </w:r>
            <w:r>
              <w:rPr>
                <w:rFonts w:asciiTheme="minorEastAsia" w:hAnsiTheme="minorEastAsia" w:eastAsiaTheme="minorEastAsia"/>
                <w:color w:val="auto"/>
                <w:sz w:val="24"/>
                <w:highlight w:val="none"/>
              </w:rPr>
              <w:t>在“信用中国”网站（www.creditchina.gov.cn）及中国政府采购网(www.ccgp.gov.cn)查询结果为准</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如在上述网站查询结果均显示没有相关记录，视为</w:t>
            </w:r>
            <w:r>
              <w:rPr>
                <w:rFonts w:hint="eastAsia" w:asciiTheme="minorEastAsia" w:hAnsiTheme="minorEastAsia" w:eastAsiaTheme="minorEastAsia"/>
                <w:color w:val="auto"/>
                <w:sz w:val="24"/>
                <w:highlight w:val="none"/>
              </w:rPr>
              <w:t>不存在</w:t>
            </w:r>
            <w:r>
              <w:rPr>
                <w:rFonts w:asciiTheme="minorEastAsia" w:hAnsiTheme="minorEastAsia" w:eastAsiaTheme="minorEastAsia"/>
                <w:color w:val="auto"/>
                <w:sz w:val="24"/>
                <w:highlight w:val="none"/>
              </w:rPr>
              <w:t>上述不良信用记录。</w:t>
            </w:r>
          </w:p>
          <w:p>
            <w:pPr>
              <w:rPr>
                <w:rFonts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2、采购代理机构同时对信用信息查询记录和证据截图或下载存档</w:t>
            </w:r>
            <w:r>
              <w:rPr>
                <w:rFonts w:hint="eastAsia" w:asciiTheme="minorEastAsia" w:hAnsiTheme="minorEastAsia" w:eastAsiaTheme="minorEastAsia"/>
                <w:color w:val="auto"/>
                <w:sz w:val="24"/>
                <w:highlight w:val="none"/>
              </w:rPr>
              <w:t>；</w:t>
            </w:r>
          </w:p>
          <w:p>
            <w:pP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3、投标人为分支机构的，同时对该分支机构所属</w:t>
            </w:r>
            <w:r>
              <w:rPr>
                <w:rFonts w:hint="eastAsia" w:cs="黑体" w:asciiTheme="minorEastAsia" w:hAnsiTheme="minorEastAsia" w:eastAsiaTheme="minorEastAsia"/>
                <w:color w:val="auto"/>
                <w:sz w:val="24"/>
                <w:highlight w:val="none"/>
              </w:rPr>
              <w:t>总公司</w:t>
            </w:r>
            <w:r>
              <w:rPr>
                <w:rStyle w:val="23"/>
                <w:rFonts w:hint="eastAsia" w:asciiTheme="minorEastAsia" w:hAnsiTheme="minorEastAsia" w:eastAsiaTheme="minorEastAsia"/>
                <w:color w:val="auto"/>
                <w:sz w:val="24"/>
                <w:szCs w:val="24"/>
                <w:highlight w:val="none"/>
              </w:rPr>
              <w:t>（总所）进行信用记录查询，</w:t>
            </w:r>
            <w:r>
              <w:rPr>
                <w:rFonts w:hint="eastAsia" w:asciiTheme="minorEastAsia" w:hAnsiTheme="minorEastAsia" w:eastAsiaTheme="minorEastAsia"/>
                <w:color w:val="auto"/>
                <w:sz w:val="24"/>
                <w:highlight w:val="none"/>
              </w:rPr>
              <w:t>该分支机构所属</w:t>
            </w:r>
            <w:r>
              <w:rPr>
                <w:rFonts w:hint="eastAsia" w:cs="黑体" w:asciiTheme="minorEastAsia" w:hAnsiTheme="minorEastAsia" w:eastAsiaTheme="minorEastAsia"/>
                <w:color w:val="auto"/>
                <w:sz w:val="24"/>
                <w:highlight w:val="none"/>
              </w:rPr>
              <w:t>总公司</w:t>
            </w:r>
            <w:r>
              <w:rPr>
                <w:rStyle w:val="23"/>
                <w:rFonts w:hint="eastAsia" w:asciiTheme="minorEastAsia" w:hAnsiTheme="minorEastAsia" w:eastAsiaTheme="minorEastAsia"/>
                <w:color w:val="auto"/>
                <w:sz w:val="24"/>
                <w:szCs w:val="24"/>
                <w:highlight w:val="none"/>
              </w:rPr>
              <w:t>（总所）</w:t>
            </w:r>
            <w:r>
              <w:rPr>
                <w:rFonts w:asciiTheme="minorEastAsia" w:hAnsiTheme="minorEastAsia" w:eastAsiaTheme="minorEastAsia"/>
                <w:color w:val="auto"/>
                <w:sz w:val="24"/>
                <w:highlight w:val="none"/>
              </w:rPr>
              <w:t>存在</w:t>
            </w:r>
            <w:r>
              <w:rPr>
                <w:rFonts w:hint="eastAsia" w:asciiTheme="minorEastAsia" w:hAnsiTheme="minorEastAsia" w:eastAsiaTheme="minorEastAsia"/>
                <w:color w:val="auto"/>
                <w:sz w:val="24"/>
                <w:highlight w:val="none"/>
              </w:rPr>
              <w:t>不良信用</w:t>
            </w:r>
            <w:r>
              <w:rPr>
                <w:rFonts w:asciiTheme="minorEastAsia" w:hAnsiTheme="minorEastAsia" w:eastAsiaTheme="minorEastAsia"/>
                <w:color w:val="auto"/>
                <w:sz w:val="24"/>
                <w:highlight w:val="none"/>
              </w:rPr>
              <w:t>记录的</w:t>
            </w:r>
            <w:r>
              <w:rPr>
                <w:rFonts w:hint="eastAsia" w:asciiTheme="minorEastAsia" w:hAnsiTheme="minorEastAsia" w:eastAsiaTheme="minorEastAsia"/>
                <w:color w:val="auto"/>
                <w:sz w:val="24"/>
                <w:highlight w:val="none"/>
              </w:rPr>
              <w:t>，视同供应商存在不良信用记录</w:t>
            </w:r>
            <w:r>
              <w:rPr>
                <w:rFonts w:asciiTheme="minorEastAsia" w:hAnsiTheme="minorEastAsia" w:eastAsiaTheme="minorEastAsia"/>
                <w:color w:val="auto"/>
                <w:sz w:val="24"/>
                <w:highlight w:val="none"/>
              </w:rPr>
              <w:t>。</w:t>
            </w:r>
          </w:p>
          <w:p>
            <w:pPr>
              <w:rPr>
                <w:rFonts w:asciiTheme="majorEastAsia" w:hAnsiTheme="majorEastAsia" w:eastAsiaTheme="majorEastAsia"/>
                <w:color w:val="auto"/>
                <w:highlight w:val="none"/>
              </w:rPr>
            </w:pPr>
            <w:r>
              <w:rPr>
                <w:rFonts w:hint="eastAsia" w:asciiTheme="minorEastAsia" w:hAnsiTheme="minorEastAsia" w:eastAsiaTheme="minorEastAsia"/>
                <w:color w:val="auto"/>
                <w:sz w:val="24"/>
                <w:highlight w:val="none"/>
              </w:rPr>
              <w:t>4、</w:t>
            </w:r>
            <w:r>
              <w:rPr>
                <w:rFonts w:asciiTheme="minorEastAsia" w:hAnsiTheme="minorEastAsia" w:eastAsiaTheme="minorEastAsia"/>
                <w:bCs/>
                <w:color w:val="auto"/>
                <w:sz w:val="24"/>
                <w:highlight w:val="none"/>
              </w:rPr>
              <w:t>如相关失信记录已失效，</w:t>
            </w:r>
            <w:r>
              <w:rPr>
                <w:rFonts w:hint="eastAsia" w:asciiTheme="minorEastAsia" w:hAnsiTheme="minorEastAsia" w:eastAsiaTheme="minorEastAsia"/>
                <w:bCs/>
                <w:color w:val="auto"/>
                <w:sz w:val="24"/>
                <w:highlight w:val="none"/>
              </w:rPr>
              <w:t>投标人必须</w:t>
            </w:r>
            <w:r>
              <w:rPr>
                <w:rFonts w:asciiTheme="minorEastAsia" w:hAnsiTheme="minorEastAsia" w:eastAsiaTheme="minorEastAsia"/>
                <w:bCs/>
                <w:color w:val="auto"/>
                <w:sz w:val="24"/>
                <w:highlight w:val="none"/>
              </w:rPr>
              <w:t>提供相关证明资料。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195" w:hRule="atLeast"/>
        </w:trPr>
        <w:tc>
          <w:tcPr>
            <w:tcW w:w="527" w:type="pct"/>
            <w:vAlign w:val="center"/>
          </w:tcPr>
          <w:p>
            <w:pPr>
              <w:pStyle w:val="24"/>
              <w:numPr>
                <w:ilvl w:val="0"/>
                <w:numId w:val="96"/>
              </w:numPr>
              <w:snapToGrid w:val="0"/>
              <w:spacing w:line="264" w:lineRule="auto"/>
              <w:ind w:left="420" w:leftChars="0" w:hanging="420" w:firstLineChars="0"/>
              <w:jc w:val="center"/>
              <w:rPr>
                <w:rFonts w:asciiTheme="majorEastAsia" w:hAnsiTheme="majorEastAsia" w:eastAsiaTheme="majorEastAsia"/>
                <w:bCs/>
                <w:color w:val="auto"/>
                <w:sz w:val="24"/>
                <w:highlight w:val="none"/>
              </w:rPr>
            </w:pPr>
          </w:p>
        </w:tc>
        <w:tc>
          <w:tcPr>
            <w:tcW w:w="2356" w:type="pct"/>
            <w:vAlign w:val="center"/>
          </w:tcPr>
          <w:p>
            <w:pPr>
              <w:tabs>
                <w:tab w:val="left" w:pos="567"/>
              </w:tabs>
              <w:snapToGrid w:val="0"/>
              <w:spacing w:line="288"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（适用于包组一） 投标人必须具有下列证书（需提供证书复印件加盖投标人公章）（如国家另有规定，则适用其规定）：</w:t>
            </w:r>
          </w:p>
          <w:p>
            <w:pPr>
              <w:tabs>
                <w:tab w:val="left" w:pos="567"/>
              </w:tabs>
              <w:snapToGrid w:val="0"/>
              <w:spacing w:line="288" w:lineRule="auto"/>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1.具有有效期内的《农产品质量安全检测机构考核合格证书》CATL证书；</w:t>
            </w:r>
          </w:p>
          <w:p>
            <w:pPr>
              <w:tabs>
                <w:tab w:val="left" w:pos="567"/>
              </w:tabs>
              <w:snapToGrid w:val="0"/>
              <w:spacing w:line="288" w:lineRule="auto"/>
              <w:rPr>
                <w:rFonts w:hint="eastAsia" w:asciiTheme="majorEastAsia" w:hAnsiTheme="majorEastAsia" w:eastAsiaTheme="majorEastAsia"/>
                <w:color w:val="auto"/>
                <w:sz w:val="24"/>
                <w:highlight w:val="none"/>
              </w:rPr>
            </w:pP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有效期内的《食品检验机构资质认定》CMAF证书或《检测检验机构资质认定》CMA证书。</w:t>
            </w:r>
          </w:p>
        </w:tc>
        <w:tc>
          <w:tcPr>
            <w:tcW w:w="708" w:type="pct"/>
            <w:vAlign w:val="center"/>
          </w:tcPr>
          <w:p>
            <w:pPr>
              <w:snapToGrid w:val="0"/>
              <w:spacing w:line="264" w:lineRule="auto"/>
              <w:rPr>
                <w:rFonts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 xml:space="preserve">通过 </w:t>
            </w:r>
          </w:p>
          <w:p>
            <w:pPr>
              <w:snapToGrid w:val="0"/>
              <w:spacing w:line="264" w:lineRule="auto"/>
              <w:rPr>
                <w:rFonts w:hint="eastAsia" w:cs="Arial"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不通过</w:t>
            </w:r>
          </w:p>
        </w:tc>
        <w:tc>
          <w:tcPr>
            <w:tcW w:w="1407" w:type="pct"/>
            <w:vAlign w:val="center"/>
          </w:tcPr>
          <w:p>
            <w:pPr>
              <w:snapToGrid w:val="0"/>
              <w:spacing w:line="264" w:lineRule="auto"/>
              <w:jc w:val="center"/>
              <w:rPr>
                <w:rFonts w:hint="eastAsia"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3769" w:hRule="atLeast"/>
        </w:trPr>
        <w:tc>
          <w:tcPr>
            <w:tcW w:w="527" w:type="pct"/>
            <w:vAlign w:val="center"/>
          </w:tcPr>
          <w:p>
            <w:pPr>
              <w:pStyle w:val="24"/>
              <w:numPr>
                <w:ilvl w:val="0"/>
                <w:numId w:val="96"/>
              </w:numPr>
              <w:snapToGrid w:val="0"/>
              <w:spacing w:line="264" w:lineRule="auto"/>
              <w:ind w:left="420" w:leftChars="0" w:hanging="420" w:firstLineChars="0"/>
              <w:jc w:val="center"/>
              <w:rPr>
                <w:rFonts w:asciiTheme="majorEastAsia" w:hAnsiTheme="majorEastAsia" w:eastAsiaTheme="majorEastAsia"/>
                <w:bCs/>
                <w:color w:val="auto"/>
                <w:sz w:val="24"/>
                <w:highlight w:val="none"/>
              </w:rPr>
            </w:pPr>
          </w:p>
        </w:tc>
        <w:tc>
          <w:tcPr>
            <w:tcW w:w="2356" w:type="pct"/>
            <w:vAlign w:val="center"/>
          </w:tcPr>
          <w:p>
            <w:pPr>
              <w:pStyle w:val="24"/>
              <w:numPr>
                <w:ilvl w:val="0"/>
                <w:numId w:val="0"/>
              </w:numPr>
              <w:tabs>
                <w:tab w:val="left" w:pos="567"/>
              </w:tabs>
              <w:snapToGrid w:val="0"/>
              <w:spacing w:line="360" w:lineRule="auto"/>
              <w:ind w:leftChars="0"/>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lang w:eastAsia="zh-CN"/>
              </w:rPr>
              <w:t>（适用于包组二、三、四）</w:t>
            </w:r>
            <w:r>
              <w:rPr>
                <w:rFonts w:hint="eastAsia" w:asciiTheme="minorEastAsia" w:hAnsiTheme="minorEastAsia" w:eastAsiaTheme="minorEastAsia"/>
                <w:bCs/>
                <w:color w:val="auto"/>
                <w:sz w:val="24"/>
                <w:highlight w:val="none"/>
              </w:rPr>
              <w:t>投标人必须具有下列证书之一（需提供证书复印件加盖投标人公章）（如国家另有规定，则适用其规定）：</w:t>
            </w:r>
          </w:p>
          <w:p>
            <w:pPr>
              <w:pStyle w:val="24"/>
              <w:numPr>
                <w:ilvl w:val="0"/>
                <w:numId w:val="0"/>
              </w:numPr>
              <w:tabs>
                <w:tab w:val="left" w:pos="567"/>
              </w:tabs>
              <w:snapToGrid w:val="0"/>
              <w:spacing w:line="360" w:lineRule="auto"/>
              <w:ind w:leftChars="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lang w:val="en-US" w:eastAsia="zh-CN"/>
              </w:rPr>
              <w:t>1.</w:t>
            </w:r>
            <w:r>
              <w:rPr>
                <w:rFonts w:hint="eastAsia" w:asciiTheme="minorEastAsia" w:hAnsiTheme="minorEastAsia" w:eastAsiaTheme="minorEastAsia"/>
                <w:bCs/>
                <w:color w:val="auto"/>
                <w:sz w:val="24"/>
                <w:highlight w:val="none"/>
              </w:rPr>
              <w:t>有效期内的《食品检验机构资质认定》CMAF证书；</w:t>
            </w:r>
          </w:p>
          <w:p>
            <w:pPr>
              <w:pStyle w:val="24"/>
              <w:tabs>
                <w:tab w:val="left" w:pos="567"/>
              </w:tabs>
              <w:snapToGrid w:val="0"/>
              <w:spacing w:line="360" w:lineRule="auto"/>
              <w:ind w:firstLine="0" w:firstLineChars="0"/>
              <w:rPr>
                <w:rFonts w:cs="宋体" w:asciiTheme="majorEastAsia" w:hAnsiTheme="majorEastAsia" w:eastAsiaTheme="majorEastAsia"/>
                <w:color w:val="auto"/>
                <w:sz w:val="24"/>
                <w:highlight w:val="none"/>
              </w:rPr>
            </w:pPr>
            <w:r>
              <w:rPr>
                <w:rFonts w:hint="eastAsia" w:asciiTheme="minorEastAsia" w:hAnsiTheme="minorEastAsia" w:eastAsiaTheme="minorEastAsia"/>
                <w:bCs/>
                <w:color w:val="auto"/>
                <w:sz w:val="24"/>
                <w:highlight w:val="none"/>
                <w:lang w:val="en-US" w:eastAsia="zh-CN"/>
              </w:rPr>
              <w:t>2.</w:t>
            </w:r>
            <w:r>
              <w:rPr>
                <w:rFonts w:hint="eastAsia" w:asciiTheme="minorEastAsia" w:hAnsiTheme="minorEastAsia" w:eastAsiaTheme="minorEastAsia"/>
                <w:bCs/>
                <w:color w:val="auto"/>
                <w:sz w:val="24"/>
                <w:highlight w:val="none"/>
              </w:rPr>
              <w:t>有效期内的《检测检验机构资质认定》CMA证书</w:t>
            </w:r>
            <w:r>
              <w:rPr>
                <w:rFonts w:hint="eastAsia" w:asciiTheme="minorEastAsia" w:hAnsiTheme="minorEastAsia" w:eastAsiaTheme="minorEastAsia"/>
                <w:bCs/>
                <w:color w:val="auto"/>
                <w:sz w:val="24"/>
                <w:highlight w:val="none"/>
                <w:lang w:eastAsia="zh-CN"/>
              </w:rPr>
              <w:t>。</w:t>
            </w:r>
          </w:p>
        </w:tc>
        <w:tc>
          <w:tcPr>
            <w:tcW w:w="708" w:type="pct"/>
            <w:vAlign w:val="center"/>
          </w:tcPr>
          <w:p>
            <w:pPr>
              <w:snapToGrid w:val="0"/>
              <w:spacing w:line="264" w:lineRule="auto"/>
              <w:rPr>
                <w:rFonts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 xml:space="preserve">通过 </w:t>
            </w:r>
          </w:p>
          <w:p>
            <w:pPr>
              <w:snapToGrid w:val="0"/>
              <w:spacing w:line="264" w:lineRule="auto"/>
              <w:rPr>
                <w:rFonts w:cs="Arial"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不通过</w:t>
            </w:r>
          </w:p>
        </w:tc>
        <w:tc>
          <w:tcPr>
            <w:tcW w:w="1407" w:type="pct"/>
            <w:vAlign w:val="center"/>
          </w:tcPr>
          <w:p>
            <w:pPr>
              <w:snapToGrid w:val="0"/>
              <w:spacing w:line="264" w:lineRule="auto"/>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663" w:hRule="atLeast"/>
        </w:trPr>
        <w:tc>
          <w:tcPr>
            <w:tcW w:w="527" w:type="pct"/>
            <w:vAlign w:val="center"/>
          </w:tcPr>
          <w:p>
            <w:pPr>
              <w:pStyle w:val="24"/>
              <w:numPr>
                <w:ilvl w:val="0"/>
                <w:numId w:val="96"/>
              </w:numPr>
              <w:snapToGrid w:val="0"/>
              <w:spacing w:line="264" w:lineRule="auto"/>
              <w:ind w:left="420" w:leftChars="0" w:hanging="420" w:firstLineChars="0"/>
              <w:jc w:val="center"/>
              <w:rPr>
                <w:rFonts w:asciiTheme="majorEastAsia" w:hAnsiTheme="majorEastAsia" w:eastAsiaTheme="majorEastAsia"/>
                <w:bCs/>
                <w:color w:val="auto"/>
                <w:sz w:val="24"/>
                <w:highlight w:val="none"/>
              </w:rPr>
            </w:pPr>
          </w:p>
        </w:tc>
        <w:tc>
          <w:tcPr>
            <w:tcW w:w="2356" w:type="pct"/>
            <w:vAlign w:val="center"/>
          </w:tcPr>
          <w:p>
            <w:pPr>
              <w:snapToGrid w:val="0"/>
              <w:spacing w:line="264" w:lineRule="auto"/>
              <w:rPr>
                <w:rFonts w:cs="宋体" w:asciiTheme="majorEastAsia" w:hAnsiTheme="majorEastAsia" w:eastAsiaTheme="majorEastAsia"/>
                <w:color w:val="auto"/>
                <w:sz w:val="24"/>
                <w:highlight w:val="none"/>
              </w:rPr>
            </w:pPr>
            <w:r>
              <w:rPr>
                <w:rFonts w:hint="eastAsia" w:asciiTheme="minorEastAsia" w:hAnsiTheme="minorEastAsia" w:eastAsiaTheme="minorEastAsia"/>
                <w:bCs/>
                <w:color w:val="auto"/>
                <w:sz w:val="24"/>
                <w:highlight w:val="none"/>
              </w:rPr>
              <w:t>成功报名并下载本招标文件的供应商。（提供《标书下载回执》）</w:t>
            </w:r>
          </w:p>
        </w:tc>
        <w:tc>
          <w:tcPr>
            <w:tcW w:w="708" w:type="pct"/>
            <w:vAlign w:val="center"/>
          </w:tcPr>
          <w:p>
            <w:pPr>
              <w:snapToGrid w:val="0"/>
              <w:spacing w:line="264" w:lineRule="auto"/>
              <w:rPr>
                <w:rFonts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 xml:space="preserve">通过 </w:t>
            </w:r>
          </w:p>
          <w:p>
            <w:pPr>
              <w:snapToGrid w:val="0"/>
              <w:spacing w:line="264" w:lineRule="auto"/>
              <w:rPr>
                <w:rFonts w:cs="Arial"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不通过</w:t>
            </w:r>
          </w:p>
        </w:tc>
        <w:tc>
          <w:tcPr>
            <w:tcW w:w="1407" w:type="pct"/>
            <w:vAlign w:val="center"/>
          </w:tcPr>
          <w:p>
            <w:pPr>
              <w:snapToGrid w:val="0"/>
              <w:spacing w:line="264" w:lineRule="auto"/>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663" w:hRule="atLeast"/>
        </w:trPr>
        <w:tc>
          <w:tcPr>
            <w:tcW w:w="527" w:type="pct"/>
            <w:vAlign w:val="center"/>
          </w:tcPr>
          <w:p>
            <w:pPr>
              <w:pStyle w:val="24"/>
              <w:numPr>
                <w:ilvl w:val="0"/>
                <w:numId w:val="96"/>
              </w:numPr>
              <w:snapToGrid w:val="0"/>
              <w:spacing w:line="264" w:lineRule="auto"/>
              <w:ind w:left="420" w:leftChars="0" w:hanging="420" w:firstLineChars="0"/>
              <w:jc w:val="center"/>
              <w:rPr>
                <w:rFonts w:asciiTheme="majorEastAsia" w:hAnsiTheme="majorEastAsia" w:eastAsiaTheme="majorEastAsia"/>
                <w:bCs/>
                <w:color w:val="auto"/>
                <w:sz w:val="24"/>
                <w:highlight w:val="none"/>
              </w:rPr>
            </w:pPr>
          </w:p>
        </w:tc>
        <w:tc>
          <w:tcPr>
            <w:tcW w:w="2356" w:type="pct"/>
            <w:vAlign w:val="center"/>
          </w:tcPr>
          <w:p>
            <w:pPr>
              <w:snapToGrid w:val="0"/>
              <w:spacing w:line="264" w:lineRule="auto"/>
              <w:rPr>
                <w:rFonts w:asciiTheme="minorEastAsia" w:hAnsiTheme="minorEastAsia" w:eastAsiaTheme="minorEastAsia"/>
                <w:bCs/>
                <w:color w:val="auto"/>
                <w:sz w:val="24"/>
                <w:highlight w:val="none"/>
              </w:rPr>
            </w:pPr>
            <w:r>
              <w:rPr>
                <w:rFonts w:hint="eastAsia" w:cs="宋体" w:asciiTheme="minorEastAsia" w:hAnsiTheme="minorEastAsia" w:eastAsiaTheme="minorEastAsia"/>
                <w:color w:val="auto"/>
                <w:sz w:val="24"/>
                <w:highlight w:val="none"/>
              </w:rPr>
              <w:t>投标人资格声明函已提交并符合招标文件要求的；</w:t>
            </w:r>
          </w:p>
        </w:tc>
        <w:tc>
          <w:tcPr>
            <w:tcW w:w="708" w:type="pct"/>
            <w:vAlign w:val="center"/>
          </w:tcPr>
          <w:p>
            <w:pPr>
              <w:snapToGrid w:val="0"/>
              <w:spacing w:line="264" w:lineRule="auto"/>
              <w:rPr>
                <w:rFonts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 xml:space="preserve">通过 </w:t>
            </w:r>
          </w:p>
          <w:p>
            <w:pPr>
              <w:snapToGrid w:val="0"/>
              <w:spacing w:line="264" w:lineRule="auto"/>
              <w:rPr>
                <w:rFonts w:cs="Arial" w:asciiTheme="majorEastAsia" w:hAnsiTheme="majorEastAsia" w:eastAsiaTheme="majorEastAsia"/>
                <w:color w:val="auto"/>
                <w:sz w:val="24"/>
                <w:highlight w:val="none"/>
              </w:rPr>
            </w:pPr>
            <w:r>
              <w:rPr>
                <w:rFonts w:hint="eastAsia" w:cs="Arial"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不通过</w:t>
            </w:r>
          </w:p>
        </w:tc>
        <w:tc>
          <w:tcPr>
            <w:tcW w:w="1407" w:type="pct"/>
            <w:vAlign w:val="center"/>
          </w:tcPr>
          <w:p>
            <w:pPr>
              <w:snapToGrid w:val="0"/>
              <w:spacing w:line="264" w:lineRule="auto"/>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第（ ）页</w:t>
            </w:r>
          </w:p>
        </w:tc>
      </w:tr>
    </w:tbl>
    <w:p>
      <w:pPr>
        <w:pStyle w:val="24"/>
        <w:numPr>
          <w:ilvl w:val="0"/>
          <w:numId w:val="92"/>
        </w:numPr>
        <w:snapToGrid w:val="0"/>
        <w:spacing w:line="360" w:lineRule="auto"/>
        <w:ind w:firstLineChars="0"/>
        <w:jc w:val="center"/>
        <w:rPr>
          <w:rFonts w:ascii="宋体" w:hAnsi="宋体"/>
          <w:b/>
          <w:color w:val="auto"/>
          <w:sz w:val="30"/>
          <w:szCs w:val="30"/>
          <w:highlight w:val="none"/>
        </w:rPr>
      </w:pPr>
      <w:r>
        <w:rPr>
          <w:rFonts w:hint="eastAsia" w:ascii="宋体" w:hAnsi="宋体"/>
          <w:b/>
          <w:color w:val="auto"/>
          <w:sz w:val="30"/>
          <w:szCs w:val="30"/>
          <w:highlight w:val="none"/>
        </w:rPr>
        <w:t>符合性自查表</w:t>
      </w:r>
    </w:p>
    <w:tbl>
      <w:tblPr>
        <w:tblStyle w:val="16"/>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150" w:type="dxa"/>
          <w:left w:w="150" w:type="dxa"/>
          <w:bottom w:w="150" w:type="dxa"/>
          <w:right w:w="150" w:type="dxa"/>
        </w:tblCellMar>
      </w:tblPr>
      <w:tblGrid>
        <w:gridCol w:w="864"/>
        <w:gridCol w:w="5575"/>
        <w:gridCol w:w="1461"/>
        <w:gridCol w:w="15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181" w:hRule="atLeast"/>
        </w:trPr>
        <w:tc>
          <w:tcPr>
            <w:tcW w:w="456" w:type="pct"/>
          </w:tcPr>
          <w:p>
            <w:pPr>
              <w:snapToGrid w:val="0"/>
              <w:spacing w:line="264" w:lineRule="auto"/>
              <w:jc w:val="center"/>
              <w:rPr>
                <w:rStyle w:val="19"/>
                <w:rFonts w:asciiTheme="minorEastAsia" w:hAnsiTheme="minorEastAsia" w:eastAsiaTheme="minorEastAsia"/>
                <w:color w:val="auto"/>
                <w:sz w:val="24"/>
                <w:highlight w:val="none"/>
              </w:rPr>
            </w:pPr>
            <w:r>
              <w:rPr>
                <w:rFonts w:hint="eastAsia" w:asciiTheme="minorEastAsia" w:hAnsiTheme="minorEastAsia" w:eastAsiaTheme="minorEastAsia"/>
                <w:b/>
                <w:color w:val="auto"/>
                <w:sz w:val="24"/>
                <w:highlight w:val="none"/>
              </w:rPr>
              <w:t>序号</w:t>
            </w:r>
          </w:p>
        </w:tc>
        <w:tc>
          <w:tcPr>
            <w:tcW w:w="2939" w:type="pct"/>
            <w:vAlign w:val="center"/>
          </w:tcPr>
          <w:p>
            <w:pPr>
              <w:snapToGrid w:val="0"/>
              <w:spacing w:line="264" w:lineRule="auto"/>
              <w:jc w:val="center"/>
              <w:rPr>
                <w:rFonts w:cs="宋体" w:asciiTheme="minorEastAsia" w:hAnsiTheme="minorEastAsia" w:eastAsiaTheme="minorEastAsia"/>
                <w:color w:val="auto"/>
                <w:sz w:val="24"/>
                <w:highlight w:val="none"/>
              </w:rPr>
            </w:pPr>
            <w:r>
              <w:rPr>
                <w:rStyle w:val="19"/>
                <w:rFonts w:hint="eastAsia" w:asciiTheme="minorEastAsia" w:hAnsiTheme="minorEastAsia" w:eastAsiaTheme="minorEastAsia"/>
                <w:color w:val="auto"/>
                <w:sz w:val="24"/>
                <w:highlight w:val="none"/>
              </w:rPr>
              <w:t>招标文件要求</w:t>
            </w:r>
          </w:p>
        </w:tc>
        <w:tc>
          <w:tcPr>
            <w:tcW w:w="770" w:type="pct"/>
            <w:vAlign w:val="center"/>
          </w:tcPr>
          <w:p>
            <w:pPr>
              <w:snapToGrid w:val="0"/>
              <w:spacing w:line="264" w:lineRule="auto"/>
              <w:jc w:val="center"/>
              <w:rPr>
                <w:rFonts w:cs="宋体" w:asciiTheme="minorEastAsia" w:hAnsiTheme="minorEastAsia" w:eastAsiaTheme="minorEastAsia"/>
                <w:color w:val="auto"/>
                <w:sz w:val="24"/>
                <w:highlight w:val="none"/>
              </w:rPr>
            </w:pPr>
            <w:r>
              <w:rPr>
                <w:rStyle w:val="19"/>
                <w:rFonts w:hint="eastAsia" w:asciiTheme="minorEastAsia" w:hAnsiTheme="minorEastAsia" w:eastAsiaTheme="minorEastAsia"/>
                <w:color w:val="auto"/>
                <w:sz w:val="24"/>
                <w:highlight w:val="none"/>
              </w:rPr>
              <w:t>自查结论</w:t>
            </w:r>
          </w:p>
        </w:tc>
        <w:tc>
          <w:tcPr>
            <w:tcW w:w="833" w:type="pct"/>
            <w:vAlign w:val="center"/>
          </w:tcPr>
          <w:p>
            <w:pPr>
              <w:snapToGrid w:val="0"/>
              <w:spacing w:line="264" w:lineRule="auto"/>
              <w:jc w:val="center"/>
              <w:rPr>
                <w:rFonts w:cs="宋体" w:asciiTheme="minorEastAsia" w:hAnsiTheme="minorEastAsia" w:eastAsiaTheme="minorEastAsia"/>
                <w:color w:val="auto"/>
                <w:sz w:val="24"/>
                <w:highlight w:val="none"/>
              </w:rPr>
            </w:pPr>
            <w:r>
              <w:rPr>
                <w:rFonts w:hint="eastAsia" w:asciiTheme="minorEastAsia" w:hAnsiTheme="minorEastAsia" w:eastAsiaTheme="minorEastAsia"/>
                <w:b/>
                <w:color w:val="auto"/>
                <w:sz w:val="24"/>
                <w:highlight w:val="none"/>
              </w:rPr>
              <w:t>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181" w:hRule="atLeast"/>
        </w:trPr>
        <w:tc>
          <w:tcPr>
            <w:tcW w:w="456" w:type="pct"/>
          </w:tcPr>
          <w:p>
            <w:pPr>
              <w:pStyle w:val="24"/>
              <w:numPr>
                <w:ilvl w:val="0"/>
                <w:numId w:val="97"/>
              </w:numPr>
              <w:snapToGrid w:val="0"/>
              <w:spacing w:line="264" w:lineRule="auto"/>
              <w:ind w:firstLineChars="0"/>
              <w:rPr>
                <w:rFonts w:cs="宋体" w:asciiTheme="minorEastAsia" w:hAnsiTheme="minorEastAsia" w:eastAsiaTheme="minorEastAsia"/>
                <w:color w:val="auto"/>
                <w:sz w:val="24"/>
                <w:highlight w:val="none"/>
              </w:rPr>
            </w:pPr>
          </w:p>
        </w:tc>
        <w:tc>
          <w:tcPr>
            <w:tcW w:w="2939" w:type="pct"/>
            <w:vAlign w:val="center"/>
          </w:tcPr>
          <w:p>
            <w:pPr>
              <w:snapToGrid w:val="0"/>
              <w:spacing w:line="264" w:lineRule="auto"/>
              <w:jc w:val="left"/>
              <w:rPr>
                <w:rStyle w:val="19"/>
                <w:rFonts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按照招标文件规定要求签署、盖章且投标文件有法定代表人签字或盖个人名章（或签字人有法定代表人有效授权书）的；</w:t>
            </w:r>
          </w:p>
        </w:tc>
        <w:tc>
          <w:tcPr>
            <w:tcW w:w="770" w:type="pct"/>
            <w:vAlign w:val="center"/>
          </w:tcPr>
          <w:p>
            <w:pPr>
              <w:snapToGrid w:val="0"/>
              <w:spacing w:line="264" w:lineRule="auto"/>
              <w:rPr>
                <w:rFonts w:asciiTheme="minorEastAsia" w:hAnsiTheme="minorEastAsia" w:eastAsiaTheme="minorEastAsia"/>
                <w:color w:val="auto"/>
                <w:sz w:val="24"/>
                <w:highlight w:val="none"/>
              </w:rPr>
            </w:pPr>
            <w:r>
              <w:rPr>
                <w:rFonts w:hint="eastAsia" w:cs="Arial"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 xml:space="preserve">通过 </w:t>
            </w:r>
          </w:p>
          <w:p>
            <w:pPr>
              <w:snapToGrid w:val="0"/>
              <w:spacing w:line="264" w:lineRule="auto"/>
              <w:rPr>
                <w:rFonts w:cs="宋体" w:asciiTheme="minorEastAsia" w:hAnsiTheme="minorEastAsia" w:eastAsiaTheme="minorEastAsia"/>
                <w:color w:val="auto"/>
                <w:sz w:val="24"/>
                <w:highlight w:val="none"/>
              </w:rPr>
            </w:pPr>
            <w:r>
              <w:rPr>
                <w:rFonts w:hint="eastAsia" w:cs="Arial"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不通过</w:t>
            </w:r>
          </w:p>
        </w:tc>
        <w:tc>
          <w:tcPr>
            <w:tcW w:w="833" w:type="pct"/>
            <w:vAlign w:val="center"/>
          </w:tcPr>
          <w:p>
            <w:pPr>
              <w:snapToGrid w:val="0"/>
              <w:spacing w:line="264" w:lineRule="auto"/>
              <w:jc w:val="center"/>
              <w:rPr>
                <w:rFonts w:cs="宋体"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35" w:hRule="atLeast"/>
        </w:trPr>
        <w:tc>
          <w:tcPr>
            <w:tcW w:w="456" w:type="pct"/>
            <w:vAlign w:val="center"/>
          </w:tcPr>
          <w:p>
            <w:pPr>
              <w:snapToGrid w:val="0"/>
              <w:spacing w:line="264" w:lineRule="auto"/>
              <w:jc w:val="center"/>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1.1</w:t>
            </w:r>
          </w:p>
        </w:tc>
        <w:tc>
          <w:tcPr>
            <w:tcW w:w="2939" w:type="pct"/>
            <w:vAlign w:val="center"/>
          </w:tcPr>
          <w:p>
            <w:pPr>
              <w:snapToGrid w:val="0"/>
              <w:spacing w:line="264" w:lineRule="auto"/>
              <w:jc w:val="left"/>
              <w:rPr>
                <w:rFonts w:cs="宋体" w:asciiTheme="minorEastAsia" w:hAnsiTheme="minorEastAsia" w:eastAsiaTheme="minorEastAsia"/>
                <w:b/>
                <w:bCs/>
                <w:color w:val="auto"/>
                <w:sz w:val="24"/>
                <w:highlight w:val="none"/>
              </w:rPr>
            </w:pPr>
            <w:r>
              <w:rPr>
                <w:rFonts w:hint="eastAsia" w:cs="宋体" w:asciiTheme="minorEastAsia" w:hAnsiTheme="minorEastAsia" w:eastAsiaTheme="minorEastAsia"/>
                <w:color w:val="auto"/>
                <w:sz w:val="24"/>
                <w:highlight w:val="none"/>
              </w:rPr>
              <w:t>法定代表人授权委托书；</w:t>
            </w:r>
          </w:p>
        </w:tc>
        <w:tc>
          <w:tcPr>
            <w:tcW w:w="770" w:type="pct"/>
            <w:vAlign w:val="center"/>
          </w:tcPr>
          <w:p>
            <w:pPr>
              <w:snapToGrid w:val="0"/>
              <w:spacing w:line="264" w:lineRule="auto"/>
              <w:rPr>
                <w:rFonts w:asciiTheme="minorEastAsia" w:hAnsiTheme="minorEastAsia" w:eastAsiaTheme="minorEastAsia"/>
                <w:color w:val="auto"/>
                <w:sz w:val="24"/>
                <w:highlight w:val="none"/>
              </w:rPr>
            </w:pPr>
            <w:r>
              <w:rPr>
                <w:rFonts w:hint="eastAsia" w:cs="Arial"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 xml:space="preserve">通过 </w:t>
            </w:r>
          </w:p>
          <w:p>
            <w:pPr>
              <w:snapToGrid w:val="0"/>
              <w:spacing w:line="264" w:lineRule="auto"/>
              <w:rPr>
                <w:rFonts w:cs="宋体" w:asciiTheme="minorEastAsia" w:hAnsiTheme="minorEastAsia" w:eastAsiaTheme="minorEastAsia"/>
                <w:color w:val="auto"/>
                <w:sz w:val="24"/>
                <w:highlight w:val="none"/>
              </w:rPr>
            </w:pPr>
            <w:r>
              <w:rPr>
                <w:rFonts w:hint="eastAsia" w:cs="Arial"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不通过</w:t>
            </w:r>
          </w:p>
        </w:tc>
        <w:tc>
          <w:tcPr>
            <w:tcW w:w="833" w:type="pct"/>
            <w:vAlign w:val="center"/>
          </w:tcPr>
          <w:p>
            <w:pPr>
              <w:snapToGrid w:val="0"/>
              <w:spacing w:line="264" w:lineRule="auto"/>
              <w:jc w:val="center"/>
              <w:rPr>
                <w:rFonts w:cs="宋体"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159" w:hRule="atLeast"/>
        </w:trPr>
        <w:tc>
          <w:tcPr>
            <w:tcW w:w="456" w:type="pct"/>
            <w:vAlign w:val="center"/>
          </w:tcPr>
          <w:p>
            <w:pPr>
              <w:snapToGrid w:val="0"/>
              <w:spacing w:line="264" w:lineRule="auto"/>
              <w:jc w:val="center"/>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1.2</w:t>
            </w:r>
          </w:p>
        </w:tc>
        <w:tc>
          <w:tcPr>
            <w:tcW w:w="2939" w:type="pct"/>
            <w:vAlign w:val="center"/>
          </w:tcPr>
          <w:p>
            <w:pPr>
              <w:snapToGrid w:val="0"/>
              <w:spacing w:line="264" w:lineRule="auto"/>
              <w:jc w:val="left"/>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法定代表人证明书；</w:t>
            </w:r>
          </w:p>
        </w:tc>
        <w:tc>
          <w:tcPr>
            <w:tcW w:w="770" w:type="pct"/>
            <w:vAlign w:val="center"/>
          </w:tcPr>
          <w:p>
            <w:pPr>
              <w:snapToGrid w:val="0"/>
              <w:spacing w:line="264" w:lineRule="auto"/>
              <w:rPr>
                <w:rFonts w:asciiTheme="minorEastAsia" w:hAnsiTheme="minorEastAsia" w:eastAsiaTheme="minorEastAsia"/>
                <w:color w:val="auto"/>
                <w:sz w:val="24"/>
                <w:highlight w:val="none"/>
              </w:rPr>
            </w:pPr>
            <w:r>
              <w:rPr>
                <w:rFonts w:hint="eastAsia" w:cs="Arial"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 xml:space="preserve">通过 </w:t>
            </w:r>
          </w:p>
          <w:p>
            <w:pPr>
              <w:snapToGrid w:val="0"/>
              <w:spacing w:line="264" w:lineRule="auto"/>
              <w:rPr>
                <w:rFonts w:cs="宋体" w:asciiTheme="minorEastAsia" w:hAnsiTheme="minorEastAsia" w:eastAsiaTheme="minorEastAsia"/>
                <w:color w:val="auto"/>
                <w:sz w:val="24"/>
                <w:highlight w:val="none"/>
              </w:rPr>
            </w:pPr>
            <w:r>
              <w:rPr>
                <w:rFonts w:hint="eastAsia" w:cs="Arial"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不通过</w:t>
            </w:r>
          </w:p>
        </w:tc>
        <w:tc>
          <w:tcPr>
            <w:tcW w:w="833" w:type="pct"/>
            <w:vAlign w:val="center"/>
          </w:tcPr>
          <w:p>
            <w:pPr>
              <w:snapToGrid w:val="0"/>
              <w:spacing w:line="264" w:lineRule="auto"/>
              <w:jc w:val="center"/>
              <w:rPr>
                <w:rFonts w:cs="宋体"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270" w:hRule="atLeast"/>
        </w:trPr>
        <w:tc>
          <w:tcPr>
            <w:tcW w:w="456" w:type="pct"/>
          </w:tcPr>
          <w:p>
            <w:pPr>
              <w:pStyle w:val="24"/>
              <w:numPr>
                <w:ilvl w:val="0"/>
                <w:numId w:val="97"/>
              </w:numPr>
              <w:snapToGrid w:val="0"/>
              <w:spacing w:line="264" w:lineRule="auto"/>
              <w:ind w:firstLineChars="0"/>
              <w:rPr>
                <w:rFonts w:cs="宋体" w:asciiTheme="minorEastAsia" w:hAnsiTheme="minorEastAsia" w:eastAsiaTheme="minorEastAsia"/>
                <w:color w:val="auto"/>
                <w:sz w:val="24"/>
                <w:highlight w:val="none"/>
              </w:rPr>
            </w:pPr>
          </w:p>
        </w:tc>
        <w:tc>
          <w:tcPr>
            <w:tcW w:w="2939" w:type="pct"/>
            <w:vAlign w:val="center"/>
          </w:tcPr>
          <w:p>
            <w:pPr>
              <w:snapToGrid w:val="0"/>
              <w:spacing w:line="264" w:lineRule="auto"/>
              <w:jc w:val="left"/>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投标函已提交并符合招标文件要求的</w:t>
            </w:r>
            <w:r>
              <w:rPr>
                <w:rFonts w:hint="eastAsia" w:ascii="宋体" w:hAnsi="宋体" w:cs="宋体"/>
                <w:color w:val="auto"/>
                <w:sz w:val="24"/>
                <w:highlight w:val="none"/>
              </w:rPr>
              <w:t>，且</w:t>
            </w:r>
            <w:r>
              <w:rPr>
                <w:rFonts w:hint="eastAsia" w:ascii="宋体" w:hAnsi="宋体"/>
                <w:color w:val="auto"/>
                <w:sz w:val="24"/>
                <w:highlight w:val="none"/>
              </w:rPr>
              <w:t>投标有效期不少于招标文件中载明的投标有效期；</w:t>
            </w:r>
          </w:p>
        </w:tc>
        <w:tc>
          <w:tcPr>
            <w:tcW w:w="770" w:type="pct"/>
            <w:vAlign w:val="center"/>
          </w:tcPr>
          <w:p>
            <w:pPr>
              <w:snapToGrid w:val="0"/>
              <w:spacing w:line="264" w:lineRule="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 xml:space="preserve">□通过 </w:t>
            </w:r>
          </w:p>
          <w:p>
            <w:pPr>
              <w:snapToGrid w:val="0"/>
              <w:spacing w:line="264" w:lineRule="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□不通过</w:t>
            </w:r>
          </w:p>
        </w:tc>
        <w:tc>
          <w:tcPr>
            <w:tcW w:w="833" w:type="pct"/>
            <w:vAlign w:val="center"/>
          </w:tcPr>
          <w:p>
            <w:pPr>
              <w:snapToGrid w:val="0"/>
              <w:spacing w:line="264" w:lineRule="auto"/>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310" w:hRule="atLeast"/>
        </w:trPr>
        <w:tc>
          <w:tcPr>
            <w:tcW w:w="456" w:type="pct"/>
          </w:tcPr>
          <w:p>
            <w:pPr>
              <w:pStyle w:val="24"/>
              <w:numPr>
                <w:ilvl w:val="0"/>
                <w:numId w:val="97"/>
              </w:numPr>
              <w:snapToGrid w:val="0"/>
              <w:spacing w:line="264" w:lineRule="auto"/>
              <w:ind w:firstLineChars="0"/>
              <w:rPr>
                <w:rFonts w:cs="宋体" w:asciiTheme="minorEastAsia" w:hAnsiTheme="minorEastAsia" w:eastAsiaTheme="minorEastAsia"/>
                <w:color w:val="auto"/>
                <w:sz w:val="24"/>
                <w:highlight w:val="none"/>
              </w:rPr>
            </w:pPr>
          </w:p>
        </w:tc>
        <w:tc>
          <w:tcPr>
            <w:tcW w:w="2939" w:type="pct"/>
            <w:vAlign w:val="center"/>
          </w:tcPr>
          <w:p>
            <w:pPr>
              <w:snapToGrid w:val="0"/>
              <w:spacing w:line="264" w:lineRule="auto"/>
              <w:jc w:val="left"/>
              <w:rPr>
                <w:rFonts w:cs="宋体"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投标下浮率报价没有大于或等于100%，也没有为负数</w:t>
            </w:r>
            <w:r>
              <w:rPr>
                <w:rFonts w:hint="eastAsia" w:cs="宋体" w:asciiTheme="minorEastAsia" w:hAnsiTheme="minorEastAsia" w:eastAsiaTheme="minorEastAsia"/>
                <w:color w:val="auto"/>
                <w:sz w:val="24"/>
                <w:highlight w:val="none"/>
              </w:rPr>
              <w:t>，且是固定唯一值的；</w:t>
            </w:r>
          </w:p>
        </w:tc>
        <w:tc>
          <w:tcPr>
            <w:tcW w:w="770" w:type="pct"/>
            <w:vAlign w:val="center"/>
          </w:tcPr>
          <w:p>
            <w:pPr>
              <w:snapToGrid w:val="0"/>
              <w:spacing w:line="264" w:lineRule="auto"/>
              <w:rPr>
                <w:rFonts w:asciiTheme="minorEastAsia" w:hAnsiTheme="minorEastAsia" w:eastAsiaTheme="minorEastAsia"/>
                <w:color w:val="auto"/>
                <w:sz w:val="24"/>
                <w:highlight w:val="none"/>
              </w:rPr>
            </w:pPr>
            <w:r>
              <w:rPr>
                <w:rFonts w:hint="eastAsia" w:cs="Arial"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 xml:space="preserve">通过 </w:t>
            </w:r>
          </w:p>
          <w:p>
            <w:pPr>
              <w:snapToGrid w:val="0"/>
              <w:spacing w:line="264" w:lineRule="auto"/>
              <w:rPr>
                <w:rFonts w:cs="Arial" w:asciiTheme="minorEastAsia" w:hAnsiTheme="minorEastAsia" w:eastAsiaTheme="minorEastAsia"/>
                <w:color w:val="auto"/>
                <w:sz w:val="24"/>
                <w:highlight w:val="none"/>
              </w:rPr>
            </w:pPr>
            <w:r>
              <w:rPr>
                <w:rFonts w:hint="eastAsia" w:cs="Arial"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不通过</w:t>
            </w:r>
          </w:p>
        </w:tc>
        <w:tc>
          <w:tcPr>
            <w:tcW w:w="833" w:type="pct"/>
            <w:vAlign w:val="center"/>
          </w:tcPr>
          <w:p>
            <w:pPr>
              <w:snapToGrid w:val="0"/>
              <w:spacing w:line="264" w:lineRule="auto"/>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773" w:hRule="atLeast"/>
        </w:trPr>
        <w:tc>
          <w:tcPr>
            <w:tcW w:w="456" w:type="pct"/>
          </w:tcPr>
          <w:p>
            <w:pPr>
              <w:pStyle w:val="24"/>
              <w:numPr>
                <w:ilvl w:val="0"/>
                <w:numId w:val="97"/>
              </w:numPr>
              <w:snapToGrid w:val="0"/>
              <w:spacing w:line="264" w:lineRule="auto"/>
              <w:ind w:firstLineChars="0"/>
              <w:rPr>
                <w:rFonts w:cs="宋体" w:asciiTheme="minorEastAsia" w:hAnsiTheme="minorEastAsia" w:eastAsiaTheme="minorEastAsia"/>
                <w:color w:val="auto"/>
                <w:sz w:val="24"/>
                <w:highlight w:val="none"/>
              </w:rPr>
            </w:pPr>
          </w:p>
        </w:tc>
        <w:tc>
          <w:tcPr>
            <w:tcW w:w="2939" w:type="pct"/>
            <w:vAlign w:val="center"/>
          </w:tcPr>
          <w:p>
            <w:pPr>
              <w:snapToGrid w:val="0"/>
              <w:spacing w:line="264" w:lineRule="auto"/>
              <w:ind w:left="7" w:hanging="7" w:hangingChars="3"/>
              <w:jc w:val="left"/>
              <w:rPr>
                <w:rFonts w:cs="宋体" w:asciiTheme="minorEastAsia" w:hAnsiTheme="minorEastAsia" w:eastAsiaTheme="minorEastAsia"/>
                <w:color w:val="auto"/>
                <w:sz w:val="24"/>
                <w:highlight w:val="none"/>
              </w:rPr>
            </w:pPr>
            <w:r>
              <w:rPr>
                <w:rFonts w:hint="eastAsia" w:ascii="宋体" w:hAnsi="宋体" w:cs="宋体"/>
                <w:color w:val="auto"/>
                <w:sz w:val="24"/>
                <w:highlight w:val="none"/>
              </w:rPr>
              <w:t>投标文件未出现选择性报价或有附加条件报价的情形；</w:t>
            </w:r>
          </w:p>
        </w:tc>
        <w:tc>
          <w:tcPr>
            <w:tcW w:w="770" w:type="pct"/>
            <w:vAlign w:val="center"/>
          </w:tcPr>
          <w:p>
            <w:pPr>
              <w:snapToGrid w:val="0"/>
              <w:spacing w:line="264" w:lineRule="auto"/>
              <w:rPr>
                <w:rFonts w:asciiTheme="minorEastAsia" w:hAnsiTheme="minorEastAsia" w:eastAsiaTheme="minorEastAsia"/>
                <w:color w:val="auto"/>
                <w:sz w:val="24"/>
                <w:highlight w:val="none"/>
              </w:rPr>
            </w:pPr>
            <w:r>
              <w:rPr>
                <w:rFonts w:hint="eastAsia" w:cs="Arial"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 xml:space="preserve">通过 </w:t>
            </w:r>
          </w:p>
          <w:p>
            <w:pPr>
              <w:snapToGrid w:val="0"/>
              <w:spacing w:line="264" w:lineRule="auto"/>
              <w:rPr>
                <w:rFonts w:cs="Arial" w:asciiTheme="minorEastAsia" w:hAnsiTheme="minorEastAsia" w:eastAsiaTheme="minorEastAsia"/>
                <w:color w:val="auto"/>
                <w:sz w:val="24"/>
                <w:highlight w:val="none"/>
              </w:rPr>
            </w:pPr>
            <w:r>
              <w:rPr>
                <w:rFonts w:hint="eastAsia" w:cs="Arial"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不通过</w:t>
            </w:r>
          </w:p>
        </w:tc>
        <w:tc>
          <w:tcPr>
            <w:tcW w:w="833" w:type="pct"/>
            <w:vAlign w:val="center"/>
          </w:tcPr>
          <w:p>
            <w:pPr>
              <w:snapToGrid w:val="0"/>
              <w:spacing w:line="264" w:lineRule="auto"/>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310" w:hRule="atLeast"/>
        </w:trPr>
        <w:tc>
          <w:tcPr>
            <w:tcW w:w="456" w:type="pct"/>
          </w:tcPr>
          <w:p>
            <w:pPr>
              <w:pStyle w:val="24"/>
              <w:numPr>
                <w:ilvl w:val="0"/>
                <w:numId w:val="97"/>
              </w:numPr>
              <w:snapToGrid w:val="0"/>
              <w:spacing w:line="264" w:lineRule="auto"/>
              <w:ind w:firstLineChars="0"/>
              <w:rPr>
                <w:rFonts w:cs="宋体" w:asciiTheme="minorEastAsia" w:hAnsiTheme="minorEastAsia" w:eastAsiaTheme="minorEastAsia"/>
                <w:color w:val="auto"/>
                <w:sz w:val="24"/>
                <w:highlight w:val="none"/>
              </w:rPr>
            </w:pPr>
          </w:p>
        </w:tc>
        <w:tc>
          <w:tcPr>
            <w:tcW w:w="2939" w:type="pct"/>
            <w:vAlign w:val="center"/>
          </w:tcPr>
          <w:p>
            <w:pPr>
              <w:snapToGrid w:val="0"/>
              <w:spacing w:line="264" w:lineRule="auto"/>
              <w:jc w:val="left"/>
              <w:rPr>
                <w:rFonts w:asciiTheme="minorEastAsia" w:hAnsiTheme="minorEastAsia" w:eastAsiaTheme="minorEastAsia"/>
                <w:b/>
                <w:bCs/>
                <w:i/>
                <w:color w:val="auto"/>
                <w:sz w:val="24"/>
                <w:highlight w:val="none"/>
                <w:shd w:val="pct10" w:color="auto" w:fill="FFFFFF"/>
              </w:rPr>
            </w:pPr>
            <w:r>
              <w:rPr>
                <w:rFonts w:hint="eastAsia" w:ascii="宋体" w:hAnsi="宋体" w:cs="宋体"/>
                <w:color w:val="auto"/>
                <w:sz w:val="24"/>
                <w:highlight w:val="none"/>
              </w:rPr>
              <w:t>投标文件完全满足招标文件的实质性条款（即标注★号条款）无负偏离的；</w:t>
            </w:r>
          </w:p>
        </w:tc>
        <w:tc>
          <w:tcPr>
            <w:tcW w:w="770" w:type="pct"/>
            <w:vAlign w:val="center"/>
          </w:tcPr>
          <w:p>
            <w:pPr>
              <w:snapToGrid w:val="0"/>
              <w:spacing w:line="264" w:lineRule="auto"/>
              <w:rPr>
                <w:rFonts w:asciiTheme="minorEastAsia" w:hAnsiTheme="minorEastAsia" w:eastAsiaTheme="minorEastAsia"/>
                <w:color w:val="auto"/>
                <w:sz w:val="24"/>
                <w:highlight w:val="none"/>
              </w:rPr>
            </w:pPr>
            <w:r>
              <w:rPr>
                <w:rFonts w:hint="eastAsia" w:cs="Arial"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 xml:space="preserve">通过 </w:t>
            </w:r>
          </w:p>
          <w:p>
            <w:pPr>
              <w:snapToGrid w:val="0"/>
              <w:spacing w:line="264" w:lineRule="auto"/>
              <w:rPr>
                <w:rFonts w:cs="Arial" w:asciiTheme="minorEastAsia" w:hAnsiTheme="minorEastAsia" w:eastAsiaTheme="minorEastAsia"/>
                <w:color w:val="auto"/>
                <w:sz w:val="24"/>
                <w:highlight w:val="none"/>
              </w:rPr>
            </w:pPr>
            <w:r>
              <w:rPr>
                <w:rFonts w:hint="eastAsia" w:cs="Arial"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不通过</w:t>
            </w:r>
          </w:p>
        </w:tc>
        <w:tc>
          <w:tcPr>
            <w:tcW w:w="833" w:type="pct"/>
            <w:vAlign w:val="center"/>
          </w:tcPr>
          <w:p>
            <w:pPr>
              <w:snapToGrid w:val="0"/>
              <w:spacing w:line="264" w:lineRule="auto"/>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310" w:hRule="atLeast"/>
        </w:trPr>
        <w:tc>
          <w:tcPr>
            <w:tcW w:w="456" w:type="pct"/>
          </w:tcPr>
          <w:p>
            <w:pPr>
              <w:pStyle w:val="24"/>
              <w:numPr>
                <w:ilvl w:val="0"/>
                <w:numId w:val="97"/>
              </w:numPr>
              <w:snapToGrid w:val="0"/>
              <w:spacing w:line="264" w:lineRule="auto"/>
              <w:ind w:firstLineChars="0"/>
              <w:rPr>
                <w:rFonts w:cs="宋体" w:asciiTheme="minorEastAsia" w:hAnsiTheme="minorEastAsia" w:eastAsiaTheme="minorEastAsia"/>
                <w:color w:val="auto"/>
                <w:sz w:val="24"/>
                <w:highlight w:val="none"/>
              </w:rPr>
            </w:pPr>
          </w:p>
        </w:tc>
        <w:tc>
          <w:tcPr>
            <w:tcW w:w="2939" w:type="pct"/>
            <w:vAlign w:val="center"/>
          </w:tcPr>
          <w:p>
            <w:pPr>
              <w:snapToGrid w:val="0"/>
              <w:spacing w:line="264" w:lineRule="auto"/>
              <w:jc w:val="left"/>
              <w:rPr>
                <w:rFonts w:ascii="宋体"/>
                <w:b/>
                <w:bCs/>
                <w:i/>
                <w:color w:val="auto"/>
                <w:sz w:val="24"/>
                <w:highlight w:val="none"/>
                <w:shd w:val="pct10" w:color="auto" w:fill="FFFFFF"/>
              </w:rPr>
            </w:pPr>
            <w:r>
              <w:rPr>
                <w:rFonts w:hint="eastAsia" w:ascii="宋体" w:hAnsi="宋体" w:cs="宋体"/>
                <w:color w:val="auto"/>
                <w:sz w:val="24"/>
                <w:highlight w:val="none"/>
              </w:rPr>
              <w:t>投标文件没有招标文件中规定的其它无效投标条款的；</w:t>
            </w:r>
          </w:p>
        </w:tc>
        <w:tc>
          <w:tcPr>
            <w:tcW w:w="770" w:type="pct"/>
            <w:vAlign w:val="center"/>
          </w:tcPr>
          <w:p>
            <w:pPr>
              <w:snapToGrid w:val="0"/>
              <w:spacing w:line="264" w:lineRule="auto"/>
              <w:rPr>
                <w:rFonts w:asciiTheme="minorEastAsia" w:hAnsiTheme="minorEastAsia" w:eastAsiaTheme="minorEastAsia"/>
                <w:color w:val="auto"/>
                <w:sz w:val="24"/>
                <w:highlight w:val="none"/>
              </w:rPr>
            </w:pPr>
            <w:r>
              <w:rPr>
                <w:rFonts w:hint="eastAsia" w:cs="Arial"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 xml:space="preserve">通过 </w:t>
            </w:r>
          </w:p>
          <w:p>
            <w:pPr>
              <w:snapToGrid w:val="0"/>
              <w:spacing w:line="264" w:lineRule="auto"/>
              <w:rPr>
                <w:rFonts w:cs="Arial" w:asciiTheme="minorEastAsia" w:hAnsiTheme="minorEastAsia" w:eastAsiaTheme="minorEastAsia"/>
                <w:color w:val="auto"/>
                <w:sz w:val="24"/>
                <w:highlight w:val="none"/>
              </w:rPr>
            </w:pPr>
            <w:r>
              <w:rPr>
                <w:rFonts w:hint="eastAsia" w:cs="Arial"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不通过</w:t>
            </w:r>
          </w:p>
        </w:tc>
        <w:tc>
          <w:tcPr>
            <w:tcW w:w="833" w:type="pct"/>
            <w:vAlign w:val="center"/>
          </w:tcPr>
          <w:p>
            <w:pPr>
              <w:snapToGrid w:val="0"/>
              <w:spacing w:line="264" w:lineRule="auto"/>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278" w:hRule="atLeast"/>
        </w:trPr>
        <w:tc>
          <w:tcPr>
            <w:tcW w:w="456" w:type="pct"/>
          </w:tcPr>
          <w:p>
            <w:pPr>
              <w:pStyle w:val="24"/>
              <w:numPr>
                <w:ilvl w:val="0"/>
                <w:numId w:val="97"/>
              </w:numPr>
              <w:snapToGrid w:val="0"/>
              <w:spacing w:line="264" w:lineRule="auto"/>
              <w:ind w:firstLineChars="0"/>
              <w:rPr>
                <w:rFonts w:cs="宋体" w:asciiTheme="minorEastAsia" w:hAnsiTheme="minorEastAsia" w:eastAsiaTheme="minorEastAsia"/>
                <w:color w:val="auto"/>
                <w:sz w:val="24"/>
                <w:highlight w:val="none"/>
              </w:rPr>
            </w:pPr>
          </w:p>
        </w:tc>
        <w:tc>
          <w:tcPr>
            <w:tcW w:w="2939" w:type="pct"/>
            <w:vAlign w:val="center"/>
          </w:tcPr>
          <w:p>
            <w:pPr>
              <w:snapToGrid w:val="0"/>
              <w:spacing w:line="264" w:lineRule="auto"/>
              <w:jc w:val="left"/>
              <w:rPr>
                <w:rFonts w:cs="宋体" w:asciiTheme="minorEastAsia" w:hAnsiTheme="minorEastAsia" w:eastAsiaTheme="minorEastAsia"/>
                <w:color w:val="auto"/>
                <w:sz w:val="24"/>
                <w:highlight w:val="none"/>
              </w:rPr>
            </w:pPr>
            <w:r>
              <w:rPr>
                <w:rFonts w:hint="eastAsia" w:ascii="宋体" w:hAnsi="宋体" w:cs="宋体"/>
                <w:color w:val="auto"/>
                <w:sz w:val="24"/>
                <w:highlight w:val="none"/>
              </w:rPr>
              <w:t>按有关法律、法规、规章不属于投标无效的。</w:t>
            </w:r>
          </w:p>
        </w:tc>
        <w:tc>
          <w:tcPr>
            <w:tcW w:w="770" w:type="pct"/>
            <w:vAlign w:val="center"/>
          </w:tcPr>
          <w:p>
            <w:pPr>
              <w:snapToGrid w:val="0"/>
              <w:spacing w:line="264" w:lineRule="auto"/>
              <w:rPr>
                <w:rFonts w:asciiTheme="minorEastAsia" w:hAnsiTheme="minorEastAsia" w:eastAsiaTheme="minorEastAsia"/>
                <w:color w:val="auto"/>
                <w:sz w:val="24"/>
                <w:highlight w:val="none"/>
              </w:rPr>
            </w:pPr>
            <w:r>
              <w:rPr>
                <w:rFonts w:hint="eastAsia" w:cs="Arial"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 xml:space="preserve">通过 </w:t>
            </w:r>
          </w:p>
          <w:p>
            <w:pPr>
              <w:snapToGrid w:val="0"/>
              <w:spacing w:line="264" w:lineRule="auto"/>
              <w:rPr>
                <w:rFonts w:cs="宋体" w:asciiTheme="minorEastAsia" w:hAnsiTheme="minorEastAsia" w:eastAsiaTheme="minorEastAsia"/>
                <w:color w:val="auto"/>
                <w:sz w:val="24"/>
                <w:highlight w:val="none"/>
              </w:rPr>
            </w:pPr>
            <w:r>
              <w:rPr>
                <w:rFonts w:hint="eastAsia" w:cs="Arial"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不通过</w:t>
            </w:r>
          </w:p>
        </w:tc>
        <w:tc>
          <w:tcPr>
            <w:tcW w:w="833" w:type="pct"/>
            <w:vAlign w:val="center"/>
          </w:tcPr>
          <w:p>
            <w:pPr>
              <w:snapToGrid w:val="0"/>
              <w:spacing w:line="264" w:lineRule="auto"/>
              <w:jc w:val="center"/>
              <w:rPr>
                <w:rFonts w:cs="宋体"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r>
    </w:tbl>
    <w:p>
      <w:pPr>
        <w:pStyle w:val="24"/>
        <w:numPr>
          <w:ilvl w:val="0"/>
          <w:numId w:val="92"/>
        </w:numPr>
        <w:snapToGrid w:val="0"/>
        <w:spacing w:line="360" w:lineRule="auto"/>
        <w:ind w:firstLineChars="0"/>
        <w:jc w:val="center"/>
        <w:rPr>
          <w:rFonts w:ascii="宋体" w:hAnsi="宋体"/>
          <w:b/>
          <w:color w:val="auto"/>
          <w:sz w:val="30"/>
          <w:szCs w:val="30"/>
          <w:highlight w:val="none"/>
        </w:rPr>
        <w:sectPr>
          <w:pgSz w:w="11906" w:h="16838"/>
          <w:pgMar w:top="1440" w:right="1286" w:bottom="1440" w:left="1440" w:header="851" w:footer="992" w:gutter="0"/>
          <w:cols w:space="720" w:num="1"/>
          <w:docGrid w:type="lines" w:linePitch="312" w:charSpace="0"/>
        </w:sectPr>
      </w:pPr>
    </w:p>
    <w:p>
      <w:pPr>
        <w:pStyle w:val="24"/>
        <w:numPr>
          <w:ilvl w:val="0"/>
          <w:numId w:val="92"/>
        </w:numPr>
        <w:snapToGrid w:val="0"/>
        <w:spacing w:line="360" w:lineRule="auto"/>
        <w:ind w:firstLineChars="0"/>
        <w:jc w:val="center"/>
        <w:rPr>
          <w:rFonts w:ascii="宋体" w:hAnsi="宋体"/>
          <w:b/>
          <w:color w:val="auto"/>
          <w:sz w:val="30"/>
          <w:szCs w:val="30"/>
          <w:highlight w:val="none"/>
        </w:rPr>
      </w:pPr>
      <w:r>
        <w:rPr>
          <w:rFonts w:hint="eastAsia" w:ascii="宋体" w:hAnsi="宋体"/>
          <w:b/>
          <w:color w:val="auto"/>
          <w:sz w:val="30"/>
          <w:szCs w:val="30"/>
          <w:highlight w:val="none"/>
        </w:rPr>
        <w:t>技术、商务评审自查表</w:t>
      </w:r>
    </w:p>
    <w:tbl>
      <w:tblPr>
        <w:tblStyle w:val="16"/>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53"/>
        <w:gridCol w:w="2013"/>
        <w:gridCol w:w="3473"/>
        <w:gridCol w:w="31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pPr>
              <w:snapToGrid w:val="0"/>
              <w:spacing w:line="264" w:lineRule="auto"/>
              <w:jc w:val="center"/>
              <w:rPr>
                <w:rFonts w:ascii="宋体" w:hAnsi="宋体"/>
                <w:b/>
                <w:color w:val="auto"/>
                <w:sz w:val="24"/>
                <w:highlight w:val="none"/>
              </w:rPr>
            </w:pPr>
            <w:r>
              <w:rPr>
                <w:rFonts w:hint="eastAsia" w:ascii="宋体" w:hAnsi="宋体"/>
                <w:b/>
                <w:color w:val="auto"/>
                <w:sz w:val="24"/>
                <w:highlight w:val="none"/>
              </w:rPr>
              <w:t>序号</w:t>
            </w:r>
          </w:p>
        </w:tc>
        <w:tc>
          <w:tcPr>
            <w:tcW w:w="1071" w:type="pct"/>
            <w:vAlign w:val="center"/>
          </w:tcPr>
          <w:p>
            <w:pPr>
              <w:snapToGrid w:val="0"/>
              <w:spacing w:line="264" w:lineRule="auto"/>
              <w:jc w:val="center"/>
              <w:rPr>
                <w:rFonts w:ascii="宋体" w:hAnsi="宋体"/>
                <w:b/>
                <w:color w:val="auto"/>
                <w:sz w:val="24"/>
                <w:highlight w:val="none"/>
              </w:rPr>
            </w:pPr>
            <w:r>
              <w:rPr>
                <w:rFonts w:hint="eastAsia" w:ascii="宋体" w:hAnsi="宋体" w:cs="宋体"/>
                <w:b/>
                <w:color w:val="auto"/>
                <w:sz w:val="24"/>
                <w:highlight w:val="none"/>
              </w:rPr>
              <w:t>评审因素</w:t>
            </w:r>
          </w:p>
        </w:tc>
        <w:tc>
          <w:tcPr>
            <w:tcW w:w="1848" w:type="pct"/>
            <w:vAlign w:val="center"/>
          </w:tcPr>
          <w:p>
            <w:pPr>
              <w:snapToGrid w:val="0"/>
              <w:spacing w:line="264" w:lineRule="auto"/>
              <w:jc w:val="center"/>
              <w:rPr>
                <w:rFonts w:ascii="宋体" w:hAnsi="宋体"/>
                <w:b/>
                <w:color w:val="auto"/>
                <w:sz w:val="24"/>
                <w:highlight w:val="none"/>
              </w:rPr>
            </w:pPr>
            <w:r>
              <w:rPr>
                <w:rFonts w:hint="eastAsia" w:ascii="宋体" w:hAnsi="宋体"/>
                <w:b/>
                <w:color w:val="auto"/>
                <w:sz w:val="24"/>
                <w:highlight w:val="none"/>
              </w:rPr>
              <w:t>提交内容</w:t>
            </w:r>
          </w:p>
        </w:tc>
        <w:tc>
          <w:tcPr>
            <w:tcW w:w="1678" w:type="pct"/>
            <w:vAlign w:val="center"/>
          </w:tcPr>
          <w:p>
            <w:pPr>
              <w:snapToGrid w:val="0"/>
              <w:spacing w:line="264" w:lineRule="auto"/>
              <w:jc w:val="center"/>
              <w:rPr>
                <w:rFonts w:ascii="宋体" w:hAnsi="宋体"/>
                <w:b/>
                <w:color w:val="auto"/>
                <w:sz w:val="24"/>
                <w:highlight w:val="none"/>
              </w:rPr>
            </w:pPr>
            <w:r>
              <w:rPr>
                <w:rFonts w:hint="eastAsia" w:ascii="宋体" w:hAnsi="宋体"/>
                <w:b/>
                <w:color w:val="auto"/>
                <w:sz w:val="24"/>
                <w:highlight w:val="none"/>
              </w:rPr>
              <w:t>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401" w:type="pct"/>
            <w:vAlign w:val="center"/>
          </w:tcPr>
          <w:p>
            <w:pPr>
              <w:numPr>
                <w:ilvl w:val="0"/>
                <w:numId w:val="98"/>
              </w:numPr>
              <w:snapToGrid w:val="0"/>
              <w:spacing w:line="264" w:lineRule="auto"/>
              <w:rPr>
                <w:rFonts w:ascii="宋体" w:hAnsi="宋体"/>
                <w:color w:val="auto"/>
                <w:sz w:val="24"/>
                <w:highlight w:val="none"/>
              </w:rPr>
            </w:pPr>
          </w:p>
        </w:tc>
        <w:tc>
          <w:tcPr>
            <w:tcW w:w="1071" w:type="pct"/>
            <w:vAlign w:val="center"/>
          </w:tcPr>
          <w:p>
            <w:pPr>
              <w:snapToGrid w:val="0"/>
              <w:spacing w:line="264" w:lineRule="auto"/>
              <w:jc w:val="left"/>
              <w:rPr>
                <w:rFonts w:ascii="宋体" w:hAnsi="宋体" w:cs="宋体"/>
                <w:color w:val="auto"/>
                <w:sz w:val="24"/>
                <w:highlight w:val="none"/>
              </w:rPr>
            </w:pPr>
          </w:p>
        </w:tc>
        <w:tc>
          <w:tcPr>
            <w:tcW w:w="1848" w:type="pct"/>
            <w:vAlign w:val="center"/>
          </w:tcPr>
          <w:p>
            <w:pPr>
              <w:snapToGrid w:val="0"/>
              <w:spacing w:line="264" w:lineRule="auto"/>
              <w:jc w:val="left"/>
              <w:rPr>
                <w:rFonts w:ascii="宋体" w:hAnsi="宋体"/>
                <w:color w:val="auto"/>
                <w:sz w:val="24"/>
                <w:highlight w:val="none"/>
              </w:rPr>
            </w:pPr>
          </w:p>
        </w:tc>
        <w:tc>
          <w:tcPr>
            <w:tcW w:w="1678" w:type="pct"/>
            <w:vAlign w:val="center"/>
          </w:tcPr>
          <w:p>
            <w:pPr>
              <w:snapToGrid w:val="0"/>
              <w:spacing w:line="264" w:lineRule="auto"/>
              <w:jc w:val="center"/>
              <w:rPr>
                <w:rFonts w:ascii="宋体" w:hAnsi="宋体"/>
                <w:color w:val="auto"/>
                <w:sz w:val="24"/>
                <w:highlight w:val="none"/>
              </w:rPr>
            </w:pPr>
            <w:r>
              <w:rPr>
                <w:rFonts w:hint="eastAsia" w:asciiTheme="minorEastAsia" w:hAnsiTheme="minorEastAsia" w:eastAsiaTheme="minorEastAsia"/>
                <w:color w:val="auto"/>
                <w:sz w:val="24"/>
                <w:highlight w:val="none"/>
              </w:rPr>
              <w:t>第（ ）页</w:t>
            </w:r>
            <w:r>
              <w:rPr>
                <w:rFonts w:hint="eastAsia" w:ascii="宋体" w:hAnsi="宋体"/>
                <w:color w:val="auto"/>
                <w:sz w:val="24"/>
                <w:highlight w:val="none"/>
              </w:rPr>
              <w:t>-（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pPr>
              <w:numPr>
                <w:ilvl w:val="0"/>
                <w:numId w:val="98"/>
              </w:numPr>
              <w:snapToGrid w:val="0"/>
              <w:spacing w:line="264" w:lineRule="auto"/>
              <w:rPr>
                <w:rFonts w:ascii="宋体" w:hAnsi="宋体"/>
                <w:color w:val="auto"/>
                <w:sz w:val="24"/>
                <w:highlight w:val="none"/>
              </w:rPr>
            </w:pPr>
          </w:p>
        </w:tc>
        <w:tc>
          <w:tcPr>
            <w:tcW w:w="1071" w:type="pct"/>
            <w:vAlign w:val="center"/>
          </w:tcPr>
          <w:p>
            <w:pPr>
              <w:snapToGrid w:val="0"/>
              <w:spacing w:line="264" w:lineRule="auto"/>
              <w:jc w:val="left"/>
              <w:rPr>
                <w:rFonts w:hAnsi="宋体"/>
                <w:bCs/>
                <w:color w:val="auto"/>
                <w:sz w:val="24"/>
                <w:highlight w:val="none"/>
              </w:rPr>
            </w:pPr>
          </w:p>
        </w:tc>
        <w:tc>
          <w:tcPr>
            <w:tcW w:w="1848" w:type="pct"/>
            <w:vAlign w:val="center"/>
          </w:tcPr>
          <w:p>
            <w:pPr>
              <w:snapToGrid w:val="0"/>
              <w:spacing w:line="264" w:lineRule="auto"/>
              <w:jc w:val="left"/>
              <w:rPr>
                <w:rFonts w:ascii="宋体" w:hAnsi="宋体"/>
                <w:color w:val="auto"/>
                <w:sz w:val="24"/>
                <w:highlight w:val="none"/>
              </w:rPr>
            </w:pPr>
          </w:p>
        </w:tc>
        <w:tc>
          <w:tcPr>
            <w:tcW w:w="1678" w:type="pct"/>
            <w:vAlign w:val="center"/>
          </w:tcPr>
          <w:p>
            <w:pPr>
              <w:snapToGrid w:val="0"/>
              <w:spacing w:line="264" w:lineRule="auto"/>
              <w:jc w:val="center"/>
              <w:rPr>
                <w:rFonts w:ascii="宋体" w:hAnsi="宋体"/>
                <w:color w:val="auto"/>
                <w:sz w:val="24"/>
                <w:highlight w:val="none"/>
              </w:rPr>
            </w:pPr>
            <w:r>
              <w:rPr>
                <w:rFonts w:hint="eastAsia" w:asciiTheme="minorEastAsia" w:hAnsiTheme="minorEastAsia" w:eastAsiaTheme="minorEastAsia"/>
                <w:color w:val="auto"/>
                <w:sz w:val="24"/>
                <w:highlight w:val="none"/>
              </w:rPr>
              <w:t>第（ ）页</w:t>
            </w:r>
            <w:r>
              <w:rPr>
                <w:rFonts w:hint="eastAsia" w:ascii="宋体" w:hAnsi="宋体"/>
                <w:color w:val="auto"/>
                <w:sz w:val="24"/>
                <w:highlight w:val="none"/>
              </w:rPr>
              <w:t>-（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pPr>
              <w:numPr>
                <w:ilvl w:val="0"/>
                <w:numId w:val="98"/>
              </w:numPr>
              <w:snapToGrid w:val="0"/>
              <w:spacing w:line="264" w:lineRule="auto"/>
              <w:rPr>
                <w:rFonts w:ascii="宋体" w:hAnsi="宋体"/>
                <w:color w:val="auto"/>
                <w:sz w:val="24"/>
                <w:highlight w:val="none"/>
              </w:rPr>
            </w:pPr>
          </w:p>
        </w:tc>
        <w:tc>
          <w:tcPr>
            <w:tcW w:w="1071" w:type="pct"/>
            <w:vAlign w:val="center"/>
          </w:tcPr>
          <w:p>
            <w:pPr>
              <w:snapToGrid w:val="0"/>
              <w:spacing w:line="264" w:lineRule="auto"/>
              <w:jc w:val="left"/>
              <w:rPr>
                <w:rFonts w:hAnsi="宋体"/>
                <w:bCs/>
                <w:color w:val="auto"/>
                <w:sz w:val="24"/>
                <w:highlight w:val="none"/>
              </w:rPr>
            </w:pPr>
          </w:p>
        </w:tc>
        <w:tc>
          <w:tcPr>
            <w:tcW w:w="1848" w:type="pct"/>
            <w:vAlign w:val="center"/>
          </w:tcPr>
          <w:p>
            <w:pPr>
              <w:snapToGrid w:val="0"/>
              <w:spacing w:line="264" w:lineRule="auto"/>
              <w:jc w:val="left"/>
              <w:rPr>
                <w:rFonts w:ascii="宋体" w:hAnsi="宋体"/>
                <w:color w:val="auto"/>
                <w:sz w:val="24"/>
                <w:highlight w:val="none"/>
              </w:rPr>
            </w:pPr>
          </w:p>
        </w:tc>
        <w:tc>
          <w:tcPr>
            <w:tcW w:w="1678" w:type="pct"/>
            <w:vAlign w:val="center"/>
          </w:tcPr>
          <w:p>
            <w:pPr>
              <w:snapToGrid w:val="0"/>
              <w:spacing w:line="264" w:lineRule="auto"/>
              <w:jc w:val="center"/>
              <w:rPr>
                <w:rFonts w:ascii="宋体" w:hAnsi="宋体"/>
                <w:color w:val="auto"/>
                <w:sz w:val="24"/>
                <w:highlight w:val="none"/>
              </w:rPr>
            </w:pPr>
            <w:r>
              <w:rPr>
                <w:rFonts w:hint="eastAsia" w:asciiTheme="minorEastAsia" w:hAnsiTheme="minorEastAsia" w:eastAsiaTheme="minorEastAsia"/>
                <w:color w:val="auto"/>
                <w:sz w:val="24"/>
                <w:highlight w:val="none"/>
              </w:rPr>
              <w:t>第（ ）页</w:t>
            </w:r>
            <w:r>
              <w:rPr>
                <w:rFonts w:hint="eastAsia" w:ascii="宋体" w:hAnsi="宋体"/>
                <w:color w:val="auto"/>
                <w:sz w:val="24"/>
                <w:highlight w:val="none"/>
              </w:rPr>
              <w:t>-（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pPr>
              <w:numPr>
                <w:ilvl w:val="0"/>
                <w:numId w:val="98"/>
              </w:numPr>
              <w:snapToGrid w:val="0"/>
              <w:spacing w:line="264" w:lineRule="auto"/>
              <w:rPr>
                <w:rFonts w:ascii="宋体" w:hAnsi="宋体"/>
                <w:color w:val="auto"/>
                <w:sz w:val="24"/>
                <w:highlight w:val="none"/>
              </w:rPr>
            </w:pPr>
          </w:p>
        </w:tc>
        <w:tc>
          <w:tcPr>
            <w:tcW w:w="1071" w:type="pct"/>
            <w:vAlign w:val="center"/>
          </w:tcPr>
          <w:p>
            <w:pPr>
              <w:snapToGrid w:val="0"/>
              <w:spacing w:line="264" w:lineRule="auto"/>
              <w:jc w:val="left"/>
              <w:rPr>
                <w:rFonts w:hAnsi="宋体"/>
                <w:bCs/>
                <w:color w:val="auto"/>
                <w:sz w:val="24"/>
                <w:highlight w:val="none"/>
              </w:rPr>
            </w:pPr>
          </w:p>
        </w:tc>
        <w:tc>
          <w:tcPr>
            <w:tcW w:w="1848" w:type="pct"/>
            <w:vAlign w:val="center"/>
          </w:tcPr>
          <w:p>
            <w:pPr>
              <w:snapToGrid w:val="0"/>
              <w:spacing w:line="264" w:lineRule="auto"/>
              <w:jc w:val="left"/>
              <w:rPr>
                <w:rFonts w:ascii="宋体" w:hAnsi="宋体"/>
                <w:color w:val="auto"/>
                <w:sz w:val="24"/>
                <w:highlight w:val="none"/>
              </w:rPr>
            </w:pPr>
          </w:p>
        </w:tc>
        <w:tc>
          <w:tcPr>
            <w:tcW w:w="1678" w:type="pct"/>
            <w:vAlign w:val="center"/>
          </w:tcPr>
          <w:p>
            <w:pPr>
              <w:snapToGrid w:val="0"/>
              <w:spacing w:line="264" w:lineRule="auto"/>
              <w:jc w:val="center"/>
              <w:rPr>
                <w:rFonts w:ascii="宋体" w:hAnsi="宋体"/>
                <w:color w:val="auto"/>
                <w:sz w:val="24"/>
                <w:highlight w:val="none"/>
              </w:rPr>
            </w:pPr>
            <w:r>
              <w:rPr>
                <w:rFonts w:hint="eastAsia" w:asciiTheme="minorEastAsia" w:hAnsiTheme="minorEastAsia" w:eastAsiaTheme="minorEastAsia"/>
                <w:color w:val="auto"/>
                <w:sz w:val="24"/>
                <w:highlight w:val="none"/>
              </w:rPr>
              <w:t>第（ ）页</w:t>
            </w:r>
            <w:r>
              <w:rPr>
                <w:rFonts w:hint="eastAsia" w:ascii="宋体" w:hAnsi="宋体"/>
                <w:color w:val="auto"/>
                <w:sz w:val="24"/>
                <w:highlight w:val="none"/>
              </w:rPr>
              <w:t>-（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pPr>
              <w:numPr>
                <w:ilvl w:val="0"/>
                <w:numId w:val="98"/>
              </w:numPr>
              <w:snapToGrid w:val="0"/>
              <w:spacing w:line="264" w:lineRule="auto"/>
              <w:rPr>
                <w:rFonts w:ascii="宋体" w:hAnsi="宋体"/>
                <w:color w:val="auto"/>
                <w:sz w:val="24"/>
                <w:highlight w:val="none"/>
              </w:rPr>
            </w:pPr>
          </w:p>
        </w:tc>
        <w:tc>
          <w:tcPr>
            <w:tcW w:w="1071" w:type="pct"/>
            <w:vAlign w:val="center"/>
          </w:tcPr>
          <w:p>
            <w:pPr>
              <w:snapToGrid w:val="0"/>
              <w:spacing w:line="264" w:lineRule="auto"/>
              <w:jc w:val="left"/>
              <w:rPr>
                <w:rFonts w:hAnsi="宋体"/>
                <w:bCs/>
                <w:color w:val="auto"/>
                <w:sz w:val="24"/>
                <w:highlight w:val="none"/>
              </w:rPr>
            </w:pPr>
          </w:p>
        </w:tc>
        <w:tc>
          <w:tcPr>
            <w:tcW w:w="1848" w:type="pct"/>
            <w:vAlign w:val="center"/>
          </w:tcPr>
          <w:p>
            <w:pPr>
              <w:snapToGrid w:val="0"/>
              <w:spacing w:line="264" w:lineRule="auto"/>
              <w:jc w:val="left"/>
              <w:rPr>
                <w:rFonts w:ascii="宋体" w:hAnsi="宋体"/>
                <w:color w:val="auto"/>
                <w:sz w:val="24"/>
                <w:highlight w:val="none"/>
              </w:rPr>
            </w:pPr>
          </w:p>
        </w:tc>
        <w:tc>
          <w:tcPr>
            <w:tcW w:w="1678" w:type="pct"/>
            <w:vAlign w:val="center"/>
          </w:tcPr>
          <w:p>
            <w:pPr>
              <w:snapToGrid w:val="0"/>
              <w:spacing w:line="264" w:lineRule="auto"/>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 ）页</w:t>
            </w:r>
            <w:r>
              <w:rPr>
                <w:rFonts w:hint="eastAsia" w:ascii="宋体" w:hAnsi="宋体"/>
                <w:color w:val="auto"/>
                <w:sz w:val="24"/>
                <w:highlight w:val="none"/>
              </w:rPr>
              <w:t>-（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8" w:hRule="atLeast"/>
          <w:jc w:val="center"/>
        </w:trPr>
        <w:tc>
          <w:tcPr>
            <w:tcW w:w="401" w:type="pct"/>
            <w:vAlign w:val="center"/>
          </w:tcPr>
          <w:p>
            <w:pPr>
              <w:numPr>
                <w:ilvl w:val="0"/>
                <w:numId w:val="98"/>
              </w:numPr>
              <w:snapToGrid w:val="0"/>
              <w:spacing w:line="264" w:lineRule="auto"/>
              <w:rPr>
                <w:rFonts w:ascii="宋体" w:hAnsi="宋体"/>
                <w:color w:val="auto"/>
                <w:sz w:val="24"/>
                <w:highlight w:val="none"/>
              </w:rPr>
            </w:pPr>
          </w:p>
        </w:tc>
        <w:tc>
          <w:tcPr>
            <w:tcW w:w="1071" w:type="pct"/>
            <w:vAlign w:val="center"/>
          </w:tcPr>
          <w:p>
            <w:pPr>
              <w:snapToGrid w:val="0"/>
              <w:spacing w:line="264" w:lineRule="auto"/>
              <w:jc w:val="left"/>
              <w:rPr>
                <w:rFonts w:ascii="宋体" w:hAnsi="宋体"/>
                <w:color w:val="auto"/>
                <w:sz w:val="24"/>
                <w:highlight w:val="none"/>
              </w:rPr>
            </w:pPr>
          </w:p>
        </w:tc>
        <w:tc>
          <w:tcPr>
            <w:tcW w:w="1848" w:type="pct"/>
            <w:vAlign w:val="center"/>
          </w:tcPr>
          <w:p>
            <w:pPr>
              <w:snapToGrid w:val="0"/>
              <w:spacing w:line="264" w:lineRule="auto"/>
              <w:jc w:val="left"/>
              <w:rPr>
                <w:rFonts w:ascii="宋体" w:hAnsi="宋体"/>
                <w:color w:val="auto"/>
                <w:sz w:val="24"/>
                <w:highlight w:val="none"/>
              </w:rPr>
            </w:pPr>
          </w:p>
        </w:tc>
        <w:tc>
          <w:tcPr>
            <w:tcW w:w="1678" w:type="pct"/>
            <w:vAlign w:val="center"/>
          </w:tcPr>
          <w:p>
            <w:pPr>
              <w:snapToGrid w:val="0"/>
              <w:spacing w:line="264" w:lineRule="auto"/>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 ）页</w:t>
            </w:r>
            <w:r>
              <w:rPr>
                <w:rFonts w:hint="eastAsia" w:ascii="宋体" w:hAnsi="宋体"/>
                <w:color w:val="auto"/>
                <w:sz w:val="24"/>
                <w:highlight w:val="none"/>
              </w:rPr>
              <w:t>-（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pPr>
              <w:numPr>
                <w:ilvl w:val="0"/>
                <w:numId w:val="98"/>
              </w:numPr>
              <w:snapToGrid w:val="0"/>
              <w:spacing w:line="264" w:lineRule="auto"/>
              <w:rPr>
                <w:rFonts w:ascii="宋体" w:hAnsi="宋体"/>
                <w:color w:val="auto"/>
                <w:sz w:val="24"/>
                <w:highlight w:val="none"/>
              </w:rPr>
            </w:pPr>
          </w:p>
        </w:tc>
        <w:tc>
          <w:tcPr>
            <w:tcW w:w="1071" w:type="pct"/>
            <w:vAlign w:val="center"/>
          </w:tcPr>
          <w:p>
            <w:pPr>
              <w:snapToGrid w:val="0"/>
              <w:spacing w:line="264" w:lineRule="auto"/>
              <w:jc w:val="left"/>
              <w:rPr>
                <w:rFonts w:ascii="宋体" w:hAnsi="宋体"/>
                <w:color w:val="auto"/>
                <w:sz w:val="24"/>
                <w:highlight w:val="none"/>
              </w:rPr>
            </w:pPr>
          </w:p>
        </w:tc>
        <w:tc>
          <w:tcPr>
            <w:tcW w:w="1848" w:type="pct"/>
            <w:vAlign w:val="center"/>
          </w:tcPr>
          <w:p>
            <w:pPr>
              <w:snapToGrid w:val="0"/>
              <w:spacing w:line="264" w:lineRule="auto"/>
              <w:jc w:val="left"/>
              <w:rPr>
                <w:rFonts w:ascii="宋体" w:hAnsi="宋体"/>
                <w:color w:val="auto"/>
                <w:sz w:val="24"/>
                <w:highlight w:val="none"/>
              </w:rPr>
            </w:pPr>
          </w:p>
        </w:tc>
        <w:tc>
          <w:tcPr>
            <w:tcW w:w="1678" w:type="pct"/>
            <w:vAlign w:val="center"/>
          </w:tcPr>
          <w:p>
            <w:pPr>
              <w:snapToGrid w:val="0"/>
              <w:spacing w:line="264" w:lineRule="auto"/>
              <w:jc w:val="center"/>
              <w:rPr>
                <w:rFonts w:ascii="宋体" w:hAnsi="宋体"/>
                <w:color w:val="auto"/>
                <w:sz w:val="24"/>
                <w:highlight w:val="none"/>
              </w:rPr>
            </w:pPr>
            <w:r>
              <w:rPr>
                <w:rFonts w:hint="eastAsia" w:asciiTheme="minorEastAsia" w:hAnsiTheme="minorEastAsia" w:eastAsiaTheme="minorEastAsia"/>
                <w:color w:val="auto"/>
                <w:sz w:val="24"/>
                <w:highlight w:val="none"/>
              </w:rPr>
              <w:t>第（ ）页</w:t>
            </w:r>
            <w:r>
              <w:rPr>
                <w:rFonts w:hint="eastAsia" w:ascii="宋体" w:hAnsi="宋体"/>
                <w:color w:val="auto"/>
                <w:sz w:val="24"/>
                <w:highlight w:val="none"/>
              </w:rPr>
              <w:t>-（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pPr>
              <w:numPr>
                <w:ilvl w:val="0"/>
                <w:numId w:val="98"/>
              </w:numPr>
              <w:snapToGrid w:val="0"/>
              <w:spacing w:line="264" w:lineRule="auto"/>
              <w:rPr>
                <w:rFonts w:ascii="宋体" w:hAnsi="宋体"/>
                <w:color w:val="auto"/>
                <w:sz w:val="24"/>
                <w:highlight w:val="none"/>
              </w:rPr>
            </w:pPr>
          </w:p>
        </w:tc>
        <w:tc>
          <w:tcPr>
            <w:tcW w:w="1071" w:type="pct"/>
            <w:vAlign w:val="center"/>
          </w:tcPr>
          <w:p>
            <w:pPr>
              <w:snapToGrid w:val="0"/>
              <w:spacing w:line="264" w:lineRule="auto"/>
              <w:jc w:val="left"/>
              <w:rPr>
                <w:rFonts w:ascii="宋体" w:hAnsi="宋体"/>
                <w:color w:val="auto"/>
                <w:sz w:val="24"/>
                <w:highlight w:val="none"/>
              </w:rPr>
            </w:pPr>
          </w:p>
        </w:tc>
        <w:tc>
          <w:tcPr>
            <w:tcW w:w="1848" w:type="pct"/>
            <w:vAlign w:val="center"/>
          </w:tcPr>
          <w:p>
            <w:pPr>
              <w:snapToGrid w:val="0"/>
              <w:spacing w:line="264" w:lineRule="auto"/>
              <w:jc w:val="left"/>
              <w:rPr>
                <w:rFonts w:ascii="宋体" w:hAnsi="宋体"/>
                <w:color w:val="auto"/>
                <w:sz w:val="24"/>
                <w:highlight w:val="none"/>
              </w:rPr>
            </w:pPr>
          </w:p>
        </w:tc>
        <w:tc>
          <w:tcPr>
            <w:tcW w:w="1678" w:type="pct"/>
            <w:vAlign w:val="center"/>
          </w:tcPr>
          <w:p>
            <w:pPr>
              <w:snapToGrid w:val="0"/>
              <w:spacing w:line="264" w:lineRule="auto"/>
              <w:jc w:val="center"/>
              <w:rPr>
                <w:rFonts w:ascii="宋体" w:hAnsi="宋体"/>
                <w:color w:val="auto"/>
                <w:sz w:val="24"/>
                <w:highlight w:val="none"/>
              </w:rPr>
            </w:pPr>
            <w:r>
              <w:rPr>
                <w:rFonts w:hint="eastAsia" w:asciiTheme="minorEastAsia" w:hAnsiTheme="minorEastAsia" w:eastAsiaTheme="minorEastAsia"/>
                <w:color w:val="auto"/>
                <w:sz w:val="24"/>
                <w:highlight w:val="none"/>
              </w:rPr>
              <w:t>第（ ）页</w:t>
            </w:r>
            <w:r>
              <w:rPr>
                <w:rFonts w:hint="eastAsia" w:ascii="宋体" w:hAnsi="宋体"/>
                <w:color w:val="auto"/>
                <w:sz w:val="24"/>
                <w:highlight w:val="none"/>
              </w:rPr>
              <w:t>-（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pPr>
              <w:numPr>
                <w:ilvl w:val="0"/>
                <w:numId w:val="98"/>
              </w:numPr>
              <w:snapToGrid w:val="0"/>
              <w:spacing w:line="264" w:lineRule="auto"/>
              <w:rPr>
                <w:rFonts w:ascii="宋体" w:hAnsi="宋体"/>
                <w:color w:val="auto"/>
                <w:sz w:val="24"/>
                <w:highlight w:val="none"/>
              </w:rPr>
            </w:pPr>
          </w:p>
        </w:tc>
        <w:tc>
          <w:tcPr>
            <w:tcW w:w="1071" w:type="pct"/>
            <w:vAlign w:val="center"/>
          </w:tcPr>
          <w:p>
            <w:pPr>
              <w:snapToGrid w:val="0"/>
              <w:spacing w:line="264" w:lineRule="auto"/>
              <w:rPr>
                <w:rFonts w:ascii="宋体" w:hAnsi="宋体"/>
                <w:color w:val="auto"/>
                <w:sz w:val="24"/>
                <w:highlight w:val="none"/>
              </w:rPr>
            </w:pPr>
          </w:p>
        </w:tc>
        <w:tc>
          <w:tcPr>
            <w:tcW w:w="1848" w:type="pct"/>
            <w:vAlign w:val="center"/>
          </w:tcPr>
          <w:p>
            <w:pPr>
              <w:snapToGrid w:val="0"/>
              <w:spacing w:line="264" w:lineRule="auto"/>
              <w:jc w:val="left"/>
              <w:rPr>
                <w:rFonts w:ascii="宋体" w:hAnsi="宋体"/>
                <w:color w:val="auto"/>
                <w:sz w:val="24"/>
                <w:highlight w:val="none"/>
              </w:rPr>
            </w:pPr>
          </w:p>
        </w:tc>
        <w:tc>
          <w:tcPr>
            <w:tcW w:w="1678" w:type="pct"/>
            <w:vAlign w:val="center"/>
          </w:tcPr>
          <w:p>
            <w:pPr>
              <w:snapToGrid w:val="0"/>
              <w:spacing w:line="264" w:lineRule="auto"/>
              <w:jc w:val="center"/>
              <w:rPr>
                <w:rFonts w:ascii="宋体" w:hAnsi="宋体"/>
                <w:color w:val="auto"/>
                <w:sz w:val="24"/>
                <w:highlight w:val="none"/>
              </w:rPr>
            </w:pPr>
            <w:r>
              <w:rPr>
                <w:rFonts w:hint="eastAsia" w:asciiTheme="minorEastAsia" w:hAnsiTheme="minorEastAsia" w:eastAsiaTheme="minorEastAsia"/>
                <w:color w:val="auto"/>
                <w:sz w:val="24"/>
                <w:highlight w:val="none"/>
              </w:rPr>
              <w:t>第（ ）页</w:t>
            </w:r>
            <w:r>
              <w:rPr>
                <w:rFonts w:hint="eastAsia" w:ascii="宋体" w:hAnsi="宋体"/>
                <w:color w:val="auto"/>
                <w:sz w:val="24"/>
                <w:highlight w:val="none"/>
              </w:rPr>
              <w:t>-（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pPr>
              <w:numPr>
                <w:ilvl w:val="0"/>
                <w:numId w:val="98"/>
              </w:numPr>
              <w:snapToGrid w:val="0"/>
              <w:spacing w:line="264" w:lineRule="auto"/>
              <w:rPr>
                <w:rFonts w:ascii="宋体" w:hAnsi="宋体"/>
                <w:color w:val="auto"/>
                <w:sz w:val="24"/>
                <w:highlight w:val="none"/>
              </w:rPr>
            </w:pPr>
          </w:p>
        </w:tc>
        <w:tc>
          <w:tcPr>
            <w:tcW w:w="1071" w:type="pct"/>
            <w:vAlign w:val="center"/>
          </w:tcPr>
          <w:p>
            <w:pPr>
              <w:snapToGrid w:val="0"/>
              <w:spacing w:line="264" w:lineRule="auto"/>
              <w:jc w:val="left"/>
              <w:rPr>
                <w:rFonts w:ascii="宋体" w:hAnsi="宋体"/>
                <w:color w:val="auto"/>
                <w:sz w:val="24"/>
                <w:highlight w:val="none"/>
              </w:rPr>
            </w:pPr>
          </w:p>
        </w:tc>
        <w:tc>
          <w:tcPr>
            <w:tcW w:w="1848" w:type="pct"/>
            <w:vAlign w:val="center"/>
          </w:tcPr>
          <w:p>
            <w:pPr>
              <w:snapToGrid w:val="0"/>
              <w:spacing w:line="264" w:lineRule="auto"/>
              <w:rPr>
                <w:rFonts w:ascii="宋体" w:hAnsi="宋体"/>
                <w:color w:val="auto"/>
                <w:sz w:val="24"/>
                <w:highlight w:val="none"/>
              </w:rPr>
            </w:pPr>
          </w:p>
        </w:tc>
        <w:tc>
          <w:tcPr>
            <w:tcW w:w="1678" w:type="pct"/>
            <w:vAlign w:val="center"/>
          </w:tcPr>
          <w:p>
            <w:pPr>
              <w:snapToGrid w:val="0"/>
              <w:spacing w:line="264" w:lineRule="auto"/>
              <w:jc w:val="center"/>
              <w:rPr>
                <w:rFonts w:ascii="宋体" w:hAnsi="宋体"/>
                <w:color w:val="auto"/>
                <w:sz w:val="24"/>
                <w:highlight w:val="none"/>
              </w:rPr>
            </w:pPr>
            <w:r>
              <w:rPr>
                <w:rFonts w:hint="eastAsia" w:asciiTheme="minorEastAsia" w:hAnsiTheme="minorEastAsia" w:eastAsiaTheme="minorEastAsia"/>
                <w:color w:val="auto"/>
                <w:sz w:val="24"/>
                <w:highlight w:val="none"/>
              </w:rPr>
              <w:t>第（ ）页</w:t>
            </w:r>
            <w:r>
              <w:rPr>
                <w:rFonts w:hint="eastAsia" w:ascii="宋体" w:hAnsi="宋体"/>
                <w:color w:val="auto"/>
                <w:sz w:val="24"/>
                <w:highlight w:val="none"/>
              </w:rPr>
              <w:t>-（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pPr>
              <w:numPr>
                <w:ilvl w:val="0"/>
                <w:numId w:val="98"/>
              </w:numPr>
              <w:snapToGrid w:val="0"/>
              <w:spacing w:line="264" w:lineRule="auto"/>
              <w:rPr>
                <w:rFonts w:ascii="宋体" w:hAnsi="宋体"/>
                <w:color w:val="auto"/>
                <w:sz w:val="24"/>
                <w:highlight w:val="none"/>
              </w:rPr>
            </w:pPr>
          </w:p>
        </w:tc>
        <w:tc>
          <w:tcPr>
            <w:tcW w:w="1071" w:type="pct"/>
            <w:vAlign w:val="center"/>
          </w:tcPr>
          <w:p>
            <w:pPr>
              <w:snapToGrid w:val="0"/>
              <w:spacing w:line="264" w:lineRule="auto"/>
              <w:rPr>
                <w:rFonts w:ascii="宋体" w:hAnsi="宋体"/>
                <w:color w:val="auto"/>
                <w:sz w:val="24"/>
                <w:highlight w:val="none"/>
              </w:rPr>
            </w:pPr>
          </w:p>
        </w:tc>
        <w:tc>
          <w:tcPr>
            <w:tcW w:w="1848" w:type="pct"/>
            <w:vAlign w:val="center"/>
          </w:tcPr>
          <w:p>
            <w:pPr>
              <w:snapToGrid w:val="0"/>
              <w:spacing w:line="264" w:lineRule="auto"/>
              <w:rPr>
                <w:rFonts w:ascii="宋体" w:hAnsi="宋体"/>
                <w:color w:val="auto"/>
                <w:sz w:val="24"/>
                <w:highlight w:val="none"/>
                <w:lang w:val="en-GB"/>
              </w:rPr>
            </w:pPr>
          </w:p>
        </w:tc>
        <w:tc>
          <w:tcPr>
            <w:tcW w:w="1678" w:type="pct"/>
            <w:vAlign w:val="center"/>
          </w:tcPr>
          <w:p>
            <w:pPr>
              <w:snapToGrid w:val="0"/>
              <w:spacing w:line="264" w:lineRule="auto"/>
              <w:jc w:val="center"/>
              <w:rPr>
                <w:rFonts w:ascii="宋体" w:hAnsi="宋体"/>
                <w:color w:val="auto"/>
                <w:sz w:val="24"/>
                <w:highlight w:val="none"/>
              </w:rPr>
            </w:pPr>
            <w:r>
              <w:rPr>
                <w:rFonts w:hint="eastAsia" w:asciiTheme="minorEastAsia" w:hAnsiTheme="minorEastAsia" w:eastAsiaTheme="minorEastAsia"/>
                <w:color w:val="auto"/>
                <w:sz w:val="24"/>
                <w:highlight w:val="none"/>
              </w:rPr>
              <w:t>第（ ）页</w:t>
            </w:r>
            <w:r>
              <w:rPr>
                <w:rFonts w:hint="eastAsia" w:ascii="宋体" w:hAnsi="宋体"/>
                <w:color w:val="auto"/>
                <w:sz w:val="24"/>
                <w:highlight w:val="none"/>
              </w:rPr>
              <w:t>-（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5000" w:type="pct"/>
            <w:gridSpan w:val="4"/>
            <w:vAlign w:val="center"/>
          </w:tcPr>
          <w:p>
            <w:pPr>
              <w:snapToGrid w:val="0"/>
              <w:spacing w:line="264" w:lineRule="auto"/>
              <w:jc w:val="center"/>
              <w:rPr>
                <w:rFonts w:ascii="宋体" w:hAnsi="宋体"/>
                <w:b/>
                <w:color w:val="auto"/>
                <w:szCs w:val="21"/>
                <w:highlight w:val="none"/>
              </w:rPr>
            </w:pPr>
            <w:r>
              <w:rPr>
                <w:rFonts w:hint="eastAsia" w:ascii="宋体" w:hAnsi="宋体"/>
                <w:b/>
                <w:color w:val="auto"/>
                <w:sz w:val="30"/>
                <w:szCs w:val="30"/>
                <w:highlight w:val="none"/>
              </w:rPr>
              <w:t>其他内容资料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pPr>
              <w:numPr>
                <w:ilvl w:val="0"/>
                <w:numId w:val="99"/>
              </w:numPr>
              <w:snapToGrid w:val="0"/>
              <w:spacing w:line="264" w:lineRule="auto"/>
              <w:rPr>
                <w:rFonts w:ascii="宋体" w:hAnsi="宋体"/>
                <w:color w:val="auto"/>
                <w:sz w:val="24"/>
                <w:highlight w:val="none"/>
              </w:rPr>
            </w:pPr>
          </w:p>
        </w:tc>
        <w:tc>
          <w:tcPr>
            <w:tcW w:w="2919" w:type="pct"/>
            <w:gridSpan w:val="2"/>
            <w:vAlign w:val="center"/>
          </w:tcPr>
          <w:p>
            <w:pPr>
              <w:snapToGrid w:val="0"/>
              <w:spacing w:line="264" w:lineRule="auto"/>
              <w:rPr>
                <w:rFonts w:hAnsi="宋体" w:cs="Courier New"/>
                <w:color w:val="auto"/>
                <w:sz w:val="24"/>
                <w:highlight w:val="none"/>
              </w:rPr>
            </w:pPr>
            <w:r>
              <w:rPr>
                <w:rFonts w:hint="eastAsia" w:hAnsi="宋体" w:cs="Courier New"/>
                <w:color w:val="auto"/>
                <w:sz w:val="24"/>
                <w:highlight w:val="none"/>
              </w:rPr>
              <w:t>投标人证书一览表</w:t>
            </w:r>
          </w:p>
        </w:tc>
        <w:tc>
          <w:tcPr>
            <w:tcW w:w="1678" w:type="pct"/>
            <w:vAlign w:val="center"/>
          </w:tcPr>
          <w:p>
            <w:pPr>
              <w:snapToGrid w:val="0"/>
              <w:spacing w:line="264" w:lineRule="auto"/>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pPr>
              <w:numPr>
                <w:ilvl w:val="0"/>
                <w:numId w:val="99"/>
              </w:numPr>
              <w:snapToGrid w:val="0"/>
              <w:spacing w:line="264" w:lineRule="auto"/>
              <w:rPr>
                <w:rFonts w:ascii="宋体" w:hAnsi="宋体"/>
                <w:color w:val="auto"/>
                <w:sz w:val="24"/>
                <w:highlight w:val="none"/>
              </w:rPr>
            </w:pPr>
          </w:p>
        </w:tc>
        <w:tc>
          <w:tcPr>
            <w:tcW w:w="2919" w:type="pct"/>
            <w:gridSpan w:val="2"/>
            <w:vAlign w:val="center"/>
          </w:tcPr>
          <w:p>
            <w:pPr>
              <w:snapToGrid w:val="0"/>
              <w:spacing w:line="264" w:lineRule="auto"/>
              <w:rPr>
                <w:rFonts w:hAnsi="宋体" w:cs="Courier New"/>
                <w:color w:val="auto"/>
                <w:sz w:val="24"/>
                <w:highlight w:val="none"/>
              </w:rPr>
            </w:pPr>
            <w:r>
              <w:rPr>
                <w:rFonts w:hint="eastAsia" w:hAnsi="宋体" w:cs="Courier New"/>
                <w:color w:val="auto"/>
                <w:sz w:val="24"/>
                <w:highlight w:val="none"/>
              </w:rPr>
              <w:t>售后服务情况表</w:t>
            </w:r>
          </w:p>
        </w:tc>
        <w:tc>
          <w:tcPr>
            <w:tcW w:w="1678" w:type="pct"/>
            <w:vAlign w:val="center"/>
          </w:tcPr>
          <w:p>
            <w:pPr>
              <w:snapToGrid w:val="0"/>
              <w:spacing w:line="264" w:lineRule="auto"/>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pPr>
              <w:numPr>
                <w:ilvl w:val="0"/>
                <w:numId w:val="99"/>
              </w:numPr>
              <w:snapToGrid w:val="0"/>
              <w:spacing w:line="264" w:lineRule="auto"/>
              <w:rPr>
                <w:rFonts w:ascii="宋体" w:hAnsi="宋体"/>
                <w:color w:val="auto"/>
                <w:sz w:val="24"/>
                <w:highlight w:val="none"/>
              </w:rPr>
            </w:pPr>
          </w:p>
        </w:tc>
        <w:tc>
          <w:tcPr>
            <w:tcW w:w="2919" w:type="pct"/>
            <w:gridSpan w:val="2"/>
            <w:vAlign w:val="center"/>
          </w:tcPr>
          <w:p>
            <w:pPr>
              <w:snapToGrid w:val="0"/>
              <w:spacing w:line="264" w:lineRule="auto"/>
              <w:rPr>
                <w:rFonts w:hAnsi="宋体" w:cs="Courier New"/>
                <w:color w:val="auto"/>
                <w:sz w:val="24"/>
                <w:highlight w:val="none"/>
              </w:rPr>
            </w:pPr>
            <w:r>
              <w:rPr>
                <w:rFonts w:hint="eastAsia" w:hAnsi="宋体" w:cs="Courier New"/>
                <w:color w:val="auto"/>
                <w:sz w:val="24"/>
                <w:highlight w:val="none"/>
              </w:rPr>
              <w:t>主要股东或出资人信息</w:t>
            </w:r>
          </w:p>
        </w:tc>
        <w:tc>
          <w:tcPr>
            <w:tcW w:w="1678" w:type="pct"/>
            <w:vAlign w:val="center"/>
          </w:tcPr>
          <w:p>
            <w:pPr>
              <w:snapToGrid w:val="0"/>
              <w:spacing w:line="264" w:lineRule="auto"/>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pPr>
              <w:numPr>
                <w:ilvl w:val="0"/>
                <w:numId w:val="99"/>
              </w:numPr>
              <w:snapToGrid w:val="0"/>
              <w:spacing w:line="264" w:lineRule="auto"/>
              <w:rPr>
                <w:rFonts w:ascii="宋体" w:hAnsi="宋体"/>
                <w:color w:val="auto"/>
                <w:sz w:val="24"/>
                <w:highlight w:val="none"/>
              </w:rPr>
            </w:pPr>
          </w:p>
        </w:tc>
        <w:tc>
          <w:tcPr>
            <w:tcW w:w="2919" w:type="pct"/>
            <w:gridSpan w:val="2"/>
            <w:vAlign w:val="center"/>
          </w:tcPr>
          <w:p>
            <w:pPr>
              <w:snapToGrid w:val="0"/>
              <w:spacing w:line="264" w:lineRule="auto"/>
              <w:rPr>
                <w:rFonts w:hAnsi="宋体" w:cs="Courier New"/>
                <w:color w:val="auto"/>
                <w:sz w:val="24"/>
                <w:highlight w:val="none"/>
              </w:rPr>
            </w:pPr>
            <w:r>
              <w:rPr>
                <w:rFonts w:hint="eastAsia" w:hAnsi="宋体" w:cs="Courier New"/>
                <w:color w:val="auto"/>
                <w:sz w:val="24"/>
                <w:highlight w:val="none"/>
              </w:rPr>
              <w:t>采购代理服务费承诺书</w:t>
            </w:r>
          </w:p>
        </w:tc>
        <w:tc>
          <w:tcPr>
            <w:tcW w:w="1678" w:type="pct"/>
            <w:vAlign w:val="center"/>
          </w:tcPr>
          <w:p>
            <w:pPr>
              <w:snapToGrid w:val="0"/>
              <w:spacing w:line="264" w:lineRule="auto"/>
              <w:jc w:val="center"/>
              <w:rPr>
                <w:rFonts w:ascii="宋体" w:hAnsi="宋体"/>
                <w:color w:val="auto"/>
                <w:sz w:val="24"/>
                <w:highlight w:val="none"/>
              </w:rPr>
            </w:pPr>
            <w:r>
              <w:rPr>
                <w:rFonts w:hint="eastAsia" w:asciiTheme="minorEastAsia" w:hAnsiTheme="minorEastAsia" w:eastAsiaTheme="minorEastAsia"/>
                <w:color w:val="auto"/>
                <w:sz w:val="24"/>
                <w:highlight w:val="none"/>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5000" w:type="pct"/>
            <w:gridSpan w:val="4"/>
            <w:vAlign w:val="center"/>
          </w:tcPr>
          <w:p>
            <w:pPr>
              <w:snapToGrid w:val="0"/>
              <w:spacing w:line="264" w:lineRule="auto"/>
              <w:jc w:val="center"/>
              <w:rPr>
                <w:rFonts w:ascii="宋体" w:hAnsi="宋体"/>
                <w:b/>
                <w:color w:val="auto"/>
                <w:sz w:val="30"/>
                <w:szCs w:val="30"/>
                <w:highlight w:val="none"/>
              </w:rPr>
            </w:pPr>
            <w:r>
              <w:rPr>
                <w:rFonts w:hint="eastAsia" w:ascii="宋体" w:hAnsi="宋体"/>
                <w:b/>
                <w:color w:val="auto"/>
                <w:sz w:val="30"/>
                <w:szCs w:val="30"/>
                <w:highlight w:val="none"/>
              </w:rPr>
              <w:t>单独密封资料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pPr>
              <w:numPr>
                <w:ilvl w:val="0"/>
                <w:numId w:val="100"/>
              </w:numPr>
              <w:snapToGrid w:val="0"/>
              <w:spacing w:line="264" w:lineRule="auto"/>
              <w:rPr>
                <w:rFonts w:ascii="宋体" w:hAnsi="宋体"/>
                <w:color w:val="auto"/>
                <w:sz w:val="24"/>
                <w:highlight w:val="none"/>
              </w:rPr>
            </w:pPr>
          </w:p>
        </w:tc>
        <w:tc>
          <w:tcPr>
            <w:tcW w:w="2919" w:type="pct"/>
            <w:gridSpan w:val="2"/>
            <w:vAlign w:val="center"/>
          </w:tcPr>
          <w:p>
            <w:pPr>
              <w:snapToGrid w:val="0"/>
              <w:spacing w:line="264" w:lineRule="auto"/>
              <w:rPr>
                <w:rFonts w:ascii="宋体" w:hAnsi="宋体"/>
                <w:color w:val="auto"/>
                <w:sz w:val="24"/>
                <w:highlight w:val="none"/>
              </w:rPr>
            </w:pPr>
            <w:r>
              <w:rPr>
                <w:rFonts w:hint="eastAsia" w:asciiTheme="minorEastAsia" w:hAnsiTheme="minorEastAsia" w:eastAsiaTheme="minorEastAsia"/>
                <w:color w:val="auto"/>
                <w:sz w:val="24"/>
                <w:highlight w:val="none"/>
              </w:rPr>
              <w:t>开票资料说明函</w:t>
            </w:r>
          </w:p>
        </w:tc>
        <w:tc>
          <w:tcPr>
            <w:tcW w:w="1678" w:type="pct"/>
            <w:vAlign w:val="center"/>
          </w:tcPr>
          <w:p>
            <w:pPr>
              <w:snapToGrid w:val="0"/>
              <w:spacing w:line="264" w:lineRule="auto"/>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pPr>
              <w:numPr>
                <w:ilvl w:val="0"/>
                <w:numId w:val="100"/>
              </w:numPr>
              <w:snapToGrid w:val="0"/>
              <w:spacing w:line="264" w:lineRule="auto"/>
              <w:rPr>
                <w:rFonts w:ascii="宋体" w:hAnsi="宋体"/>
                <w:color w:val="auto"/>
                <w:sz w:val="24"/>
                <w:highlight w:val="none"/>
              </w:rPr>
            </w:pPr>
          </w:p>
        </w:tc>
        <w:tc>
          <w:tcPr>
            <w:tcW w:w="2919" w:type="pct"/>
            <w:gridSpan w:val="2"/>
            <w:vAlign w:val="center"/>
          </w:tcPr>
          <w:p>
            <w:pPr>
              <w:snapToGrid w:val="0"/>
              <w:spacing w:line="264" w:lineRule="auto"/>
              <w:rPr>
                <w:rFonts w:ascii="宋体" w:hAnsi="宋体"/>
                <w:color w:val="auto"/>
                <w:sz w:val="24"/>
                <w:highlight w:val="none"/>
              </w:rPr>
            </w:pPr>
            <w:r>
              <w:rPr>
                <w:rFonts w:hint="eastAsia" w:asciiTheme="minorEastAsia" w:hAnsiTheme="minorEastAsia" w:eastAsiaTheme="minorEastAsia"/>
                <w:color w:val="auto"/>
                <w:sz w:val="24"/>
                <w:highlight w:val="none"/>
              </w:rPr>
              <w:t>电子介质</w:t>
            </w:r>
          </w:p>
        </w:tc>
        <w:tc>
          <w:tcPr>
            <w:tcW w:w="1678" w:type="pct"/>
            <w:vAlign w:val="center"/>
          </w:tcPr>
          <w:p>
            <w:pPr>
              <w:snapToGrid w:val="0"/>
              <w:spacing w:line="264" w:lineRule="auto"/>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pPr>
              <w:numPr>
                <w:ilvl w:val="0"/>
                <w:numId w:val="100"/>
              </w:numPr>
              <w:snapToGrid w:val="0"/>
              <w:spacing w:line="264" w:lineRule="auto"/>
              <w:rPr>
                <w:rFonts w:ascii="宋体" w:hAnsi="宋体"/>
                <w:color w:val="auto"/>
                <w:sz w:val="24"/>
                <w:highlight w:val="none"/>
              </w:rPr>
            </w:pPr>
          </w:p>
        </w:tc>
        <w:tc>
          <w:tcPr>
            <w:tcW w:w="2919" w:type="pct"/>
            <w:gridSpan w:val="2"/>
            <w:vAlign w:val="center"/>
          </w:tcPr>
          <w:p>
            <w:pPr>
              <w:snapToGrid w:val="0"/>
              <w:spacing w:line="264" w:lineRule="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营业执照（或事业单位法人证书或社会团体法人登记证书等）</w:t>
            </w:r>
          </w:p>
        </w:tc>
        <w:tc>
          <w:tcPr>
            <w:tcW w:w="1678" w:type="pct"/>
            <w:vAlign w:val="center"/>
          </w:tcPr>
          <w:p>
            <w:pPr>
              <w:snapToGrid w:val="0"/>
              <w:spacing w:line="264" w:lineRule="auto"/>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r>
    </w:tbl>
    <w:p>
      <w:pPr>
        <w:widowControl/>
        <w:jc w:val="left"/>
        <w:rPr>
          <w:rFonts w:ascii="Arial" w:hAnsi="Arial" w:eastAsia="黑体"/>
          <w:bCs/>
          <w:color w:val="auto"/>
          <w:sz w:val="32"/>
          <w:szCs w:val="32"/>
          <w:highlight w:val="none"/>
        </w:rPr>
      </w:pPr>
      <w:bookmarkStart w:id="62" w:name="_Toc435515305"/>
      <w:bookmarkStart w:id="63" w:name="_Toc435514865"/>
    </w:p>
    <w:p>
      <w:pPr>
        <w:widowControl/>
        <w:jc w:val="left"/>
        <w:rPr>
          <w:rFonts w:ascii="黑体" w:hAnsi="黑体" w:eastAsia="黑体"/>
          <w:color w:val="auto"/>
          <w:sz w:val="32"/>
          <w:szCs w:val="32"/>
          <w:highlight w:val="none"/>
        </w:rPr>
      </w:pPr>
      <w:r>
        <w:rPr>
          <w:rFonts w:ascii="黑体" w:hAnsi="黑体" w:eastAsia="黑体"/>
          <w:color w:val="auto"/>
          <w:sz w:val="32"/>
          <w:szCs w:val="32"/>
          <w:highlight w:val="none"/>
        </w:rPr>
        <w:br w:type="page"/>
      </w:r>
    </w:p>
    <w:p>
      <w:pPr>
        <w:tabs>
          <w:tab w:val="left" w:pos="426"/>
        </w:tabs>
        <w:autoSpaceDE w:val="0"/>
        <w:autoSpaceDN w:val="0"/>
        <w:spacing w:line="360" w:lineRule="auto"/>
        <w:jc w:val="center"/>
        <w:outlineLvl w:val="3"/>
        <w:rPr>
          <w:rFonts w:ascii="黑体" w:hAnsi="黑体" w:eastAsia="黑体"/>
          <w:color w:val="auto"/>
          <w:sz w:val="32"/>
          <w:szCs w:val="32"/>
          <w:highlight w:val="none"/>
        </w:rPr>
      </w:pPr>
      <w:r>
        <w:rPr>
          <w:rFonts w:hint="eastAsia" w:ascii="黑体" w:hAnsi="黑体" w:eastAsia="黑体"/>
          <w:color w:val="auto"/>
          <w:sz w:val="32"/>
          <w:szCs w:val="32"/>
          <w:highlight w:val="none"/>
        </w:rPr>
        <w:t>开标一览表(报价表)</w:t>
      </w:r>
      <w:bookmarkEnd w:id="62"/>
      <w:bookmarkEnd w:id="63"/>
    </w:p>
    <w:p>
      <w:pPr>
        <w:tabs>
          <w:tab w:val="left" w:pos="7740"/>
        </w:tabs>
        <w:snapToGrid w:val="0"/>
        <w:spacing w:line="360" w:lineRule="auto"/>
        <w:rPr>
          <w:rFonts w:hint="eastAsia" w:ascii="宋体" w:hAnsi="宋体"/>
          <w:color w:val="auto"/>
          <w:sz w:val="24"/>
          <w:highlight w:val="none"/>
        </w:rPr>
      </w:pPr>
      <w:r>
        <w:rPr>
          <w:rFonts w:hint="eastAsia" w:ascii="宋体" w:hAnsi="宋体"/>
          <w:color w:val="auto"/>
          <w:sz w:val="24"/>
          <w:highlight w:val="none"/>
        </w:rPr>
        <w:t>项目名称：2020-2021年食品安全监督抽检项目</w:t>
      </w:r>
    </w:p>
    <w:tbl>
      <w:tblPr>
        <w:tblStyle w:val="16"/>
        <w:tblW w:w="487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92"/>
        <w:gridCol w:w="3599"/>
        <w:gridCol w:w="1675"/>
        <w:gridCol w:w="220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922" w:type="pct"/>
            <w:tcBorders>
              <w:top w:val="single" w:color="auto" w:sz="12" w:space="0"/>
              <w:bottom w:val="double" w:color="auto" w:sz="4" w:space="0"/>
            </w:tcBorders>
            <w:shd w:val="clear" w:color="auto" w:fill="EEECE1"/>
            <w:vAlign w:val="center"/>
          </w:tcPr>
          <w:p>
            <w:pPr>
              <w:snapToGrid w:val="0"/>
              <w:jc w:val="center"/>
              <w:rPr>
                <w:rFonts w:ascii="宋体"/>
                <w:b/>
                <w:color w:val="auto"/>
                <w:sz w:val="24"/>
                <w:highlight w:val="none"/>
              </w:rPr>
            </w:pPr>
            <w:r>
              <w:rPr>
                <w:rFonts w:hint="eastAsia" w:ascii="宋体"/>
                <w:b/>
                <w:color w:val="auto"/>
                <w:sz w:val="24"/>
                <w:highlight w:val="none"/>
              </w:rPr>
              <w:t>包组号</w:t>
            </w:r>
          </w:p>
        </w:tc>
        <w:tc>
          <w:tcPr>
            <w:tcW w:w="1962" w:type="pct"/>
            <w:tcBorders>
              <w:top w:val="single" w:color="auto" w:sz="12" w:space="0"/>
              <w:bottom w:val="double" w:color="auto" w:sz="4" w:space="0"/>
            </w:tcBorders>
            <w:shd w:val="clear" w:color="auto" w:fill="EEECE1"/>
            <w:vAlign w:val="center"/>
          </w:tcPr>
          <w:p>
            <w:pPr>
              <w:snapToGrid w:val="0"/>
              <w:jc w:val="center"/>
              <w:rPr>
                <w:rFonts w:ascii="宋体"/>
                <w:b/>
                <w:color w:val="auto"/>
                <w:sz w:val="24"/>
                <w:highlight w:val="none"/>
              </w:rPr>
            </w:pPr>
            <w:r>
              <w:rPr>
                <w:rFonts w:hint="eastAsia" w:ascii="宋体"/>
                <w:b/>
                <w:color w:val="auto"/>
                <w:sz w:val="24"/>
                <w:highlight w:val="none"/>
              </w:rPr>
              <w:t>采购内容</w:t>
            </w:r>
          </w:p>
        </w:tc>
        <w:tc>
          <w:tcPr>
            <w:tcW w:w="913" w:type="pct"/>
            <w:tcBorders>
              <w:top w:val="single" w:color="auto" w:sz="12" w:space="0"/>
              <w:bottom w:val="double" w:color="auto" w:sz="4" w:space="0"/>
            </w:tcBorders>
            <w:shd w:val="clear" w:color="auto" w:fill="EEECE1"/>
            <w:vAlign w:val="center"/>
          </w:tcPr>
          <w:p>
            <w:pPr>
              <w:snapToGrid w:val="0"/>
              <w:jc w:val="center"/>
              <w:rPr>
                <w:rFonts w:ascii="宋体"/>
                <w:b/>
                <w:color w:val="auto"/>
                <w:sz w:val="24"/>
                <w:highlight w:val="none"/>
              </w:rPr>
            </w:pPr>
            <w:r>
              <w:rPr>
                <w:rFonts w:hint="eastAsia" w:ascii="宋体"/>
                <w:b/>
                <w:color w:val="auto"/>
                <w:sz w:val="24"/>
                <w:highlight w:val="none"/>
              </w:rPr>
              <w:t>数量</w:t>
            </w:r>
          </w:p>
        </w:tc>
        <w:tc>
          <w:tcPr>
            <w:tcW w:w="1201" w:type="pct"/>
            <w:tcBorders>
              <w:top w:val="single" w:color="auto" w:sz="12" w:space="0"/>
              <w:bottom w:val="double" w:color="auto" w:sz="4" w:space="0"/>
            </w:tcBorders>
            <w:shd w:val="clear" w:color="auto" w:fill="EEECE1"/>
            <w:vAlign w:val="center"/>
          </w:tcPr>
          <w:p>
            <w:pPr>
              <w:snapToGrid w:val="0"/>
              <w:jc w:val="center"/>
              <w:rPr>
                <w:rFonts w:ascii="宋体"/>
                <w:b/>
                <w:color w:val="auto"/>
                <w:sz w:val="24"/>
                <w:highlight w:val="none"/>
              </w:rPr>
            </w:pPr>
            <w:r>
              <w:rPr>
                <w:rFonts w:hint="eastAsia" w:ascii="宋体"/>
                <w:b/>
                <w:color w:val="auto"/>
                <w:sz w:val="24"/>
                <w:highlight w:val="none"/>
              </w:rPr>
              <w:t>投标</w:t>
            </w:r>
            <w:r>
              <w:rPr>
                <w:rFonts w:hint="eastAsia" w:ascii="宋体"/>
                <w:b/>
                <w:color w:val="auto"/>
                <w:sz w:val="24"/>
                <w:highlight w:val="none"/>
                <w:lang w:eastAsia="zh-CN"/>
              </w:rPr>
              <w:t>下浮率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922" w:type="pct"/>
            <w:tcBorders>
              <w:top w:val="double" w:color="auto" w:sz="4" w:space="0"/>
              <w:bottom w:val="single" w:color="auto" w:sz="6" w:space="0"/>
            </w:tcBorders>
            <w:vAlign w:val="center"/>
          </w:tcPr>
          <w:p>
            <w:pPr>
              <w:snapToGrid w:val="0"/>
              <w:jc w:val="center"/>
              <w:rPr>
                <w:rFonts w:ascii="宋体"/>
                <w:bCs/>
                <w:color w:val="auto"/>
                <w:sz w:val="24"/>
                <w:highlight w:val="none"/>
              </w:rPr>
            </w:pPr>
            <w:r>
              <w:rPr>
                <w:rFonts w:hint="eastAsia" w:ascii="宋体"/>
                <w:bCs/>
                <w:color w:val="auto"/>
                <w:sz w:val="24"/>
                <w:highlight w:val="none"/>
              </w:rPr>
              <w:t>包组一</w:t>
            </w:r>
          </w:p>
        </w:tc>
        <w:tc>
          <w:tcPr>
            <w:tcW w:w="1962" w:type="pct"/>
            <w:tcBorders>
              <w:top w:val="double" w:color="auto" w:sz="4" w:space="0"/>
              <w:bottom w:val="single" w:color="auto" w:sz="6" w:space="0"/>
            </w:tcBorders>
            <w:vAlign w:val="center"/>
          </w:tcPr>
          <w:p>
            <w:pPr>
              <w:snapToGrid w:val="0"/>
              <w:jc w:val="center"/>
              <w:rPr>
                <w:rFonts w:ascii="宋体"/>
                <w:bCs/>
                <w:color w:val="auto"/>
                <w:sz w:val="24"/>
                <w:highlight w:val="none"/>
              </w:rPr>
            </w:pPr>
            <w:r>
              <w:rPr>
                <w:rFonts w:hint="eastAsia" w:ascii="宋体"/>
                <w:bCs/>
                <w:color w:val="auto"/>
                <w:sz w:val="24"/>
                <w:highlight w:val="none"/>
              </w:rPr>
              <w:t>食用农产品抽检</w:t>
            </w:r>
          </w:p>
        </w:tc>
        <w:tc>
          <w:tcPr>
            <w:tcW w:w="913" w:type="pct"/>
            <w:tcBorders>
              <w:top w:val="double" w:color="auto" w:sz="4" w:space="0"/>
              <w:bottom w:val="single" w:color="auto" w:sz="6" w:space="0"/>
            </w:tcBorders>
            <w:vAlign w:val="center"/>
          </w:tcPr>
          <w:p>
            <w:pPr>
              <w:snapToGrid w:val="0"/>
              <w:jc w:val="center"/>
              <w:rPr>
                <w:rFonts w:ascii="宋体"/>
                <w:bCs/>
                <w:color w:val="auto"/>
                <w:sz w:val="24"/>
                <w:highlight w:val="none"/>
              </w:rPr>
            </w:pPr>
            <w:r>
              <w:rPr>
                <w:rFonts w:hint="eastAsia" w:asciiTheme="minorEastAsia" w:hAnsiTheme="minorEastAsia" w:eastAsiaTheme="minorEastAsia"/>
                <w:color w:val="auto"/>
                <w:sz w:val="24"/>
                <w:highlight w:val="none"/>
              </w:rPr>
              <w:t>558批次</w:t>
            </w:r>
          </w:p>
        </w:tc>
        <w:tc>
          <w:tcPr>
            <w:tcW w:w="1201" w:type="pct"/>
            <w:tcBorders>
              <w:top w:val="double" w:color="auto" w:sz="4" w:space="0"/>
              <w:bottom w:val="single" w:color="auto" w:sz="6" w:space="0"/>
            </w:tcBorders>
            <w:vAlign w:val="center"/>
          </w:tcPr>
          <w:p>
            <w:pPr>
              <w:snapToGrid w:val="0"/>
              <w:ind w:left="0" w:leftChars="0" w:right="0" w:rightChars="0" w:firstLine="0" w:firstLineChars="0"/>
              <w:jc w:val="center"/>
              <w:rPr>
                <w:rFonts w:hint="default" w:ascii="宋体" w:eastAsia="宋体"/>
                <w:bCs/>
                <w:color w:val="auto"/>
                <w:sz w:val="24"/>
                <w:highlight w:val="none"/>
                <w:u w:val="single"/>
                <w:lang w:val="en-US" w:eastAsia="zh-CN"/>
              </w:rPr>
            </w:pPr>
            <w:r>
              <w:rPr>
                <w:rFonts w:hint="eastAsia" w:ascii="宋体"/>
                <w:bCs/>
                <w:color w:val="auto"/>
                <w:sz w:val="24"/>
                <w:highlight w:val="none"/>
                <w:u w:val="singl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922" w:type="pct"/>
            <w:tcBorders>
              <w:top w:val="single" w:color="auto" w:sz="6" w:space="0"/>
              <w:bottom w:val="single" w:color="auto" w:sz="4" w:space="0"/>
            </w:tcBorders>
            <w:vAlign w:val="center"/>
          </w:tcPr>
          <w:p>
            <w:pPr>
              <w:snapToGrid w:val="0"/>
              <w:jc w:val="center"/>
              <w:rPr>
                <w:rFonts w:ascii="宋体"/>
                <w:bCs/>
                <w:color w:val="auto"/>
                <w:sz w:val="24"/>
                <w:highlight w:val="none"/>
              </w:rPr>
            </w:pPr>
            <w:r>
              <w:rPr>
                <w:rFonts w:hint="eastAsia" w:ascii="宋体"/>
                <w:bCs/>
                <w:color w:val="auto"/>
                <w:sz w:val="24"/>
                <w:highlight w:val="none"/>
              </w:rPr>
              <w:t>包组二</w:t>
            </w:r>
          </w:p>
        </w:tc>
        <w:tc>
          <w:tcPr>
            <w:tcW w:w="1962" w:type="pct"/>
            <w:tcBorders>
              <w:top w:val="single" w:color="auto" w:sz="6" w:space="0"/>
              <w:bottom w:val="single" w:color="auto" w:sz="4" w:space="0"/>
            </w:tcBorders>
            <w:vAlign w:val="center"/>
          </w:tcPr>
          <w:p>
            <w:pPr>
              <w:snapToGrid w:val="0"/>
              <w:jc w:val="center"/>
              <w:rPr>
                <w:rFonts w:ascii="宋体"/>
                <w:bCs/>
                <w:color w:val="auto"/>
                <w:sz w:val="24"/>
                <w:highlight w:val="none"/>
              </w:rPr>
            </w:pPr>
            <w:r>
              <w:rPr>
                <w:rFonts w:hint="eastAsia" w:ascii="宋体"/>
                <w:bCs/>
                <w:color w:val="auto"/>
                <w:sz w:val="24"/>
                <w:highlight w:val="none"/>
              </w:rPr>
              <w:t>除食用农产品外的其他食品类别抽检（一）</w:t>
            </w:r>
          </w:p>
        </w:tc>
        <w:tc>
          <w:tcPr>
            <w:tcW w:w="913" w:type="pct"/>
            <w:tcBorders>
              <w:top w:val="single" w:color="auto" w:sz="6" w:space="0"/>
              <w:bottom w:val="single" w:color="auto" w:sz="4" w:space="0"/>
            </w:tcBorders>
            <w:vAlign w:val="center"/>
          </w:tcPr>
          <w:p>
            <w:pPr>
              <w:snapToGrid w:val="0"/>
              <w:jc w:val="center"/>
              <w:rPr>
                <w:rFonts w:ascii="宋体"/>
                <w:bCs/>
                <w:color w:val="auto"/>
                <w:sz w:val="24"/>
                <w:highlight w:val="none"/>
              </w:rPr>
            </w:pPr>
            <w:r>
              <w:rPr>
                <w:rFonts w:hint="eastAsia" w:asciiTheme="minorEastAsia" w:hAnsiTheme="minorEastAsia" w:eastAsiaTheme="minorEastAsia"/>
                <w:color w:val="auto"/>
                <w:sz w:val="24"/>
                <w:highlight w:val="none"/>
              </w:rPr>
              <w:t>474批次</w:t>
            </w:r>
          </w:p>
        </w:tc>
        <w:tc>
          <w:tcPr>
            <w:tcW w:w="1201" w:type="pct"/>
            <w:tcBorders>
              <w:top w:val="single" w:color="auto" w:sz="6" w:space="0"/>
              <w:bottom w:val="single" w:color="auto" w:sz="4" w:space="0"/>
            </w:tcBorders>
            <w:vAlign w:val="center"/>
          </w:tcPr>
          <w:p>
            <w:pPr>
              <w:snapToGrid w:val="0"/>
              <w:ind w:left="0" w:leftChars="0" w:right="0" w:rightChars="0" w:firstLine="0" w:firstLineChars="0"/>
              <w:jc w:val="center"/>
              <w:rPr>
                <w:rFonts w:ascii="宋体"/>
                <w:bCs/>
                <w:color w:val="auto"/>
                <w:sz w:val="24"/>
                <w:highlight w:val="none"/>
              </w:rPr>
            </w:pPr>
            <w:r>
              <w:rPr>
                <w:rFonts w:hint="eastAsia" w:ascii="宋体"/>
                <w:bCs/>
                <w:color w:val="auto"/>
                <w:sz w:val="24"/>
                <w:highlight w:val="none"/>
                <w:u w:val="singl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922" w:type="pct"/>
            <w:tcBorders>
              <w:top w:val="single" w:color="auto" w:sz="4" w:space="0"/>
            </w:tcBorders>
            <w:vAlign w:val="center"/>
          </w:tcPr>
          <w:p>
            <w:pPr>
              <w:snapToGrid w:val="0"/>
              <w:jc w:val="center"/>
              <w:rPr>
                <w:rFonts w:hint="eastAsia" w:ascii="宋体"/>
                <w:bCs/>
                <w:color w:val="auto"/>
                <w:sz w:val="24"/>
                <w:highlight w:val="none"/>
              </w:rPr>
            </w:pPr>
            <w:r>
              <w:rPr>
                <w:rFonts w:hint="eastAsia" w:ascii="宋体"/>
                <w:bCs/>
                <w:color w:val="auto"/>
                <w:sz w:val="24"/>
                <w:highlight w:val="none"/>
              </w:rPr>
              <w:t>包组三</w:t>
            </w:r>
          </w:p>
        </w:tc>
        <w:tc>
          <w:tcPr>
            <w:tcW w:w="1962" w:type="pct"/>
            <w:tcBorders>
              <w:top w:val="single" w:color="auto" w:sz="4" w:space="0"/>
            </w:tcBorders>
            <w:vAlign w:val="center"/>
          </w:tcPr>
          <w:p>
            <w:pPr>
              <w:snapToGrid w:val="0"/>
              <w:jc w:val="center"/>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除食用农产品外的其他食品类别抽检（二）</w:t>
            </w:r>
          </w:p>
        </w:tc>
        <w:tc>
          <w:tcPr>
            <w:tcW w:w="913" w:type="pct"/>
            <w:tcBorders>
              <w:top w:val="single" w:color="auto" w:sz="4" w:space="0"/>
            </w:tcBorders>
            <w:vAlign w:val="center"/>
          </w:tcPr>
          <w:p>
            <w:pPr>
              <w:snapToGrid w:val="0"/>
              <w:jc w:val="center"/>
              <w:rPr>
                <w:rFonts w:ascii="宋体"/>
                <w:bCs/>
                <w:color w:val="auto"/>
                <w:sz w:val="24"/>
                <w:highlight w:val="none"/>
              </w:rPr>
            </w:pPr>
            <w:r>
              <w:rPr>
                <w:rFonts w:hint="eastAsia" w:asciiTheme="minorEastAsia" w:hAnsiTheme="minorEastAsia" w:eastAsiaTheme="minorEastAsia"/>
                <w:color w:val="auto"/>
                <w:sz w:val="24"/>
                <w:highlight w:val="none"/>
              </w:rPr>
              <w:t>474批次</w:t>
            </w:r>
          </w:p>
        </w:tc>
        <w:tc>
          <w:tcPr>
            <w:tcW w:w="1201" w:type="pct"/>
            <w:tcBorders>
              <w:top w:val="single" w:color="auto" w:sz="4" w:space="0"/>
            </w:tcBorders>
            <w:vAlign w:val="center"/>
          </w:tcPr>
          <w:p>
            <w:pPr>
              <w:snapToGrid w:val="0"/>
              <w:ind w:left="0" w:leftChars="0" w:right="0" w:rightChars="0" w:firstLine="0" w:firstLineChars="0"/>
              <w:jc w:val="center"/>
              <w:rPr>
                <w:rFonts w:ascii="宋体"/>
                <w:bCs/>
                <w:color w:val="auto"/>
                <w:sz w:val="24"/>
                <w:highlight w:val="none"/>
                <w:u w:val="single"/>
              </w:rPr>
            </w:pPr>
            <w:r>
              <w:rPr>
                <w:rFonts w:hint="eastAsia" w:ascii="宋体"/>
                <w:bCs/>
                <w:color w:val="auto"/>
                <w:sz w:val="24"/>
                <w:highlight w:val="none"/>
                <w:u w:val="singl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922" w:type="pct"/>
            <w:tcBorders>
              <w:top w:val="single" w:color="auto" w:sz="4" w:space="0"/>
            </w:tcBorders>
            <w:vAlign w:val="center"/>
          </w:tcPr>
          <w:p>
            <w:pPr>
              <w:snapToGrid w:val="0"/>
              <w:jc w:val="center"/>
              <w:rPr>
                <w:rFonts w:ascii="宋体"/>
                <w:bCs/>
                <w:color w:val="auto"/>
                <w:sz w:val="24"/>
                <w:highlight w:val="none"/>
              </w:rPr>
            </w:pPr>
            <w:r>
              <w:rPr>
                <w:rFonts w:hint="eastAsia" w:ascii="宋体"/>
                <w:bCs/>
                <w:color w:val="auto"/>
                <w:sz w:val="24"/>
                <w:highlight w:val="none"/>
              </w:rPr>
              <w:t>包组四</w:t>
            </w:r>
          </w:p>
        </w:tc>
        <w:tc>
          <w:tcPr>
            <w:tcW w:w="1962" w:type="pct"/>
            <w:tcBorders>
              <w:top w:val="single" w:color="auto" w:sz="4" w:space="0"/>
            </w:tcBorders>
            <w:vAlign w:val="center"/>
          </w:tcPr>
          <w:p>
            <w:pPr>
              <w:snapToGrid w:val="0"/>
              <w:jc w:val="center"/>
              <w:rPr>
                <w:rFonts w:ascii="宋体"/>
                <w:bCs/>
                <w:color w:val="auto"/>
                <w:sz w:val="24"/>
                <w:highlight w:val="none"/>
              </w:rPr>
            </w:pPr>
            <w:r>
              <w:rPr>
                <w:rFonts w:hint="eastAsia" w:asciiTheme="minorEastAsia" w:hAnsiTheme="minorEastAsia" w:eastAsiaTheme="minorEastAsia"/>
                <w:color w:val="auto"/>
                <w:sz w:val="24"/>
                <w:highlight w:val="none"/>
              </w:rPr>
              <w:t>除食用农产品外的其他食品类别抽检（三）</w:t>
            </w:r>
          </w:p>
        </w:tc>
        <w:tc>
          <w:tcPr>
            <w:tcW w:w="913" w:type="pct"/>
            <w:tcBorders>
              <w:top w:val="single" w:color="auto" w:sz="4" w:space="0"/>
            </w:tcBorders>
            <w:vAlign w:val="center"/>
          </w:tcPr>
          <w:p>
            <w:pPr>
              <w:snapToGrid w:val="0"/>
              <w:jc w:val="center"/>
              <w:rPr>
                <w:rFonts w:ascii="宋体"/>
                <w:bCs/>
                <w:color w:val="auto"/>
                <w:sz w:val="24"/>
                <w:highlight w:val="none"/>
              </w:rPr>
            </w:pPr>
            <w:r>
              <w:rPr>
                <w:rFonts w:hint="eastAsia" w:asciiTheme="minorEastAsia" w:hAnsiTheme="minorEastAsia" w:eastAsiaTheme="minorEastAsia"/>
                <w:color w:val="auto"/>
                <w:sz w:val="24"/>
                <w:highlight w:val="none"/>
              </w:rPr>
              <w:t>475批次</w:t>
            </w:r>
          </w:p>
        </w:tc>
        <w:tc>
          <w:tcPr>
            <w:tcW w:w="1201" w:type="pct"/>
            <w:tcBorders>
              <w:top w:val="single" w:color="auto" w:sz="4" w:space="0"/>
            </w:tcBorders>
            <w:vAlign w:val="center"/>
          </w:tcPr>
          <w:p>
            <w:pPr>
              <w:snapToGrid w:val="0"/>
              <w:ind w:left="0" w:leftChars="0" w:right="0" w:rightChars="0" w:firstLine="0" w:firstLineChars="0"/>
              <w:jc w:val="center"/>
              <w:rPr>
                <w:rFonts w:ascii="宋体"/>
                <w:bCs/>
                <w:color w:val="auto"/>
                <w:sz w:val="24"/>
                <w:highlight w:val="none"/>
                <w:u w:val="single"/>
              </w:rPr>
            </w:pPr>
            <w:r>
              <w:rPr>
                <w:rFonts w:hint="eastAsia" w:ascii="宋体"/>
                <w:bCs/>
                <w:color w:val="auto"/>
                <w:sz w:val="24"/>
                <w:highlight w:val="none"/>
                <w:u w:val="single"/>
                <w:lang w:val="en-US" w:eastAsia="zh-CN"/>
              </w:rPr>
              <w:t xml:space="preserve">    %</w:t>
            </w:r>
          </w:p>
        </w:tc>
      </w:tr>
    </w:tbl>
    <w:p>
      <w:pPr>
        <w:spacing w:line="500" w:lineRule="exact"/>
        <w:rPr>
          <w:color w:val="auto"/>
          <w:spacing w:val="4"/>
          <w:sz w:val="24"/>
          <w:highlight w:val="none"/>
        </w:rPr>
      </w:pPr>
    </w:p>
    <w:p>
      <w:pPr>
        <w:spacing w:line="500" w:lineRule="exact"/>
        <w:rPr>
          <w:rFonts w:ascii="宋体" w:hAnsi="宋体"/>
          <w:color w:val="auto"/>
          <w:sz w:val="24"/>
          <w:highlight w:val="none"/>
          <w:u w:val="single"/>
        </w:rPr>
      </w:pPr>
      <w:r>
        <w:rPr>
          <w:rFonts w:hint="eastAsia"/>
          <w:color w:val="auto"/>
          <w:spacing w:val="4"/>
          <w:sz w:val="24"/>
          <w:highlight w:val="none"/>
        </w:rPr>
        <w:t>投标人名称（</w:t>
      </w:r>
      <w:r>
        <w:rPr>
          <w:rFonts w:hint="eastAsia" w:ascii="宋体" w:hAnsi="宋体"/>
          <w:color w:val="auto"/>
          <w:sz w:val="24"/>
          <w:highlight w:val="none"/>
        </w:rPr>
        <w:t>单位盖</w:t>
      </w:r>
      <w:r>
        <w:rPr>
          <w:rFonts w:hint="eastAsia"/>
          <w:color w:val="auto"/>
          <w:spacing w:val="4"/>
          <w:sz w:val="24"/>
          <w:highlight w:val="none"/>
        </w:rPr>
        <w:t>公章）：</w:t>
      </w:r>
    </w:p>
    <w:p>
      <w:pPr>
        <w:spacing w:line="520" w:lineRule="exact"/>
        <w:rPr>
          <w:color w:val="auto"/>
          <w:spacing w:val="4"/>
          <w:sz w:val="24"/>
          <w:highlight w:val="none"/>
        </w:rPr>
      </w:pPr>
      <w:r>
        <w:rPr>
          <w:rFonts w:hint="eastAsia" w:ascii="宋体"/>
          <w:color w:val="auto"/>
          <w:sz w:val="24"/>
          <w:highlight w:val="none"/>
        </w:rPr>
        <w:t>法定代表人或</w:t>
      </w:r>
      <w:r>
        <w:rPr>
          <w:rFonts w:hint="eastAsia" w:ascii="宋体" w:hAnsi="宋体"/>
          <w:color w:val="auto"/>
          <w:sz w:val="24"/>
          <w:highlight w:val="none"/>
        </w:rPr>
        <w:t>投标人授权代表（签名或盖个人名章）</w:t>
      </w:r>
    </w:p>
    <w:p>
      <w:pPr>
        <w:spacing w:line="520" w:lineRule="exact"/>
        <w:rPr>
          <w:color w:val="auto"/>
          <w:spacing w:val="4"/>
          <w:sz w:val="24"/>
          <w:highlight w:val="none"/>
        </w:rPr>
      </w:pPr>
      <w:r>
        <w:rPr>
          <w:rFonts w:hint="eastAsia"/>
          <w:color w:val="auto"/>
          <w:spacing w:val="4"/>
          <w:sz w:val="24"/>
          <w:highlight w:val="none"/>
        </w:rPr>
        <w:t>日期：</w:t>
      </w:r>
    </w:p>
    <w:p>
      <w:pPr>
        <w:tabs>
          <w:tab w:val="left" w:pos="360"/>
        </w:tabs>
        <w:snapToGrid w:val="0"/>
        <w:spacing w:line="360" w:lineRule="auto"/>
        <w:rPr>
          <w:color w:val="auto"/>
          <w:spacing w:val="4"/>
          <w:sz w:val="24"/>
          <w:highlight w:val="none"/>
        </w:rPr>
      </w:pPr>
    </w:p>
    <w:p>
      <w:pPr>
        <w:tabs>
          <w:tab w:val="left" w:pos="360"/>
        </w:tabs>
        <w:snapToGrid w:val="0"/>
        <w:spacing w:line="360" w:lineRule="auto"/>
        <w:rPr>
          <w:b/>
          <w:color w:val="auto"/>
          <w:spacing w:val="4"/>
          <w:sz w:val="24"/>
          <w:highlight w:val="none"/>
        </w:rPr>
      </w:pPr>
      <w:r>
        <w:rPr>
          <w:rFonts w:hint="eastAsia"/>
          <w:b/>
          <w:color w:val="auto"/>
          <w:spacing w:val="4"/>
          <w:sz w:val="24"/>
          <w:highlight w:val="none"/>
        </w:rPr>
        <w:t>说明：</w:t>
      </w:r>
    </w:p>
    <w:p>
      <w:pPr>
        <w:numPr>
          <w:ilvl w:val="1"/>
          <w:numId w:val="101"/>
        </w:numPr>
        <w:tabs>
          <w:tab w:val="left" w:pos="426"/>
          <w:tab w:val="clear" w:pos="1620"/>
        </w:tabs>
        <w:snapToGrid w:val="0"/>
        <w:spacing w:line="360" w:lineRule="auto"/>
        <w:ind w:left="426" w:hanging="426"/>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本项目投标报价为下浮率报价，且只允许报一个下浮率，同时所报的投标下浮率应当适用于该类别所有产品单品。</w:t>
      </w:r>
    </w:p>
    <w:p>
      <w:pPr>
        <w:numPr>
          <w:ilvl w:val="1"/>
          <w:numId w:val="101"/>
        </w:numPr>
        <w:tabs>
          <w:tab w:val="left" w:pos="426"/>
          <w:tab w:val="clear" w:pos="1620"/>
        </w:tabs>
        <w:snapToGrid w:val="0"/>
        <w:spacing w:line="360" w:lineRule="auto"/>
        <w:ind w:left="426" w:hanging="426"/>
        <w:rPr>
          <w:rFonts w:hint="eastAsia" w:asciiTheme="majorEastAsia" w:hAnsiTheme="majorEastAsia" w:eastAsiaTheme="majorEastAsia"/>
          <w:color w:val="auto"/>
          <w:sz w:val="24"/>
          <w:highlight w:val="none"/>
        </w:rPr>
        <w:sectPr>
          <w:pgSz w:w="11906" w:h="16838"/>
          <w:pgMar w:top="1440" w:right="1286" w:bottom="1440" w:left="1440" w:header="851" w:footer="992" w:gutter="0"/>
          <w:cols w:space="720" w:num="1"/>
          <w:docGrid w:type="lines" w:linePitch="312" w:charSpace="0"/>
        </w:sectPr>
      </w:pPr>
      <w:r>
        <w:rPr>
          <w:rFonts w:hint="eastAsia" w:asciiTheme="majorEastAsia" w:hAnsiTheme="majorEastAsia" w:eastAsiaTheme="majorEastAsia"/>
          <w:color w:val="auto"/>
          <w:sz w:val="24"/>
          <w:highlight w:val="none"/>
        </w:rPr>
        <w:t>如投标下浮率报价为A%，则实际供货价＝所投产品的基准价×(1-A%)×实际供货量。</w:t>
      </w:r>
    </w:p>
    <w:p>
      <w:pPr>
        <w:tabs>
          <w:tab w:val="left" w:pos="426"/>
        </w:tabs>
        <w:autoSpaceDE w:val="0"/>
        <w:autoSpaceDN w:val="0"/>
        <w:spacing w:line="360" w:lineRule="auto"/>
        <w:jc w:val="center"/>
        <w:outlineLvl w:val="3"/>
        <w:rPr>
          <w:rFonts w:ascii="黑体" w:hAnsi="黑体" w:eastAsia="黑体"/>
          <w:color w:val="auto"/>
          <w:sz w:val="32"/>
          <w:szCs w:val="32"/>
          <w:highlight w:val="none"/>
        </w:rPr>
      </w:pPr>
      <w:bookmarkStart w:id="64" w:name="_Toc435515315"/>
      <w:bookmarkStart w:id="65" w:name="_Toc435514875"/>
      <w:r>
        <w:rPr>
          <w:rFonts w:hint="eastAsia" w:ascii="黑体" w:hAnsi="黑体" w:eastAsia="黑体"/>
          <w:color w:val="auto"/>
          <w:sz w:val="32"/>
          <w:szCs w:val="32"/>
          <w:highlight w:val="none"/>
        </w:rPr>
        <w:t>中小企业声明函</w:t>
      </w:r>
      <w:bookmarkEnd w:id="64"/>
      <w:bookmarkEnd w:id="65"/>
      <w:r>
        <w:rPr>
          <w:rFonts w:hint="eastAsia" w:ascii="黑体" w:hAnsi="黑体" w:eastAsia="黑体"/>
          <w:color w:val="auto"/>
          <w:sz w:val="32"/>
          <w:szCs w:val="32"/>
          <w:highlight w:val="none"/>
        </w:rPr>
        <w:t>（如有）</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本公司郑重声明，根据《政府采购促进中小企业发展暂行办法》（财库[2011]181号）的规定，本公司为（请填写：中型、小型、微型）企业。即，本公司同时满足以下条件：</w:t>
      </w:r>
    </w:p>
    <w:p>
      <w:pPr>
        <w:spacing w:line="360" w:lineRule="auto"/>
        <w:ind w:left="360" w:hanging="360" w:hangingChars="150"/>
        <w:rPr>
          <w:rFonts w:ascii="宋体" w:hAnsi="宋体"/>
          <w:color w:val="auto"/>
          <w:sz w:val="24"/>
          <w:highlight w:val="none"/>
        </w:rPr>
      </w:pPr>
      <w:r>
        <w:rPr>
          <w:rFonts w:hint="eastAsia" w:ascii="宋体" w:hAnsi="宋体"/>
          <w:color w:val="auto"/>
          <w:sz w:val="24"/>
          <w:highlight w:val="none"/>
        </w:rPr>
        <w:t>1、根据《工业和信息化部、国家统计局、国家发展和改革委员会、财政部关于印发中小企业划型标准规定的通知》（工信部联企业[2011]300号）规定的划分标准，本公司为（请填写：中型、小型、微型）企业。</w:t>
      </w:r>
    </w:p>
    <w:p>
      <w:pPr>
        <w:spacing w:line="360" w:lineRule="auto"/>
        <w:ind w:left="360" w:hanging="360" w:hangingChars="150"/>
        <w:rPr>
          <w:rFonts w:ascii="宋体" w:hAnsi="宋体"/>
          <w:color w:val="auto"/>
          <w:sz w:val="24"/>
          <w:highlight w:val="none"/>
        </w:rPr>
      </w:pPr>
      <w:r>
        <w:rPr>
          <w:rFonts w:hint="eastAsia" w:ascii="宋体" w:hAnsi="宋体"/>
          <w:color w:val="auto"/>
          <w:sz w:val="24"/>
          <w:highlight w:val="none"/>
        </w:rPr>
        <w:t>2、本公司参加</w:t>
      </w:r>
      <w:r>
        <w:rPr>
          <w:rFonts w:hint="eastAsia" w:ascii="宋体" w:hAnsi="宋体"/>
          <w:color w:val="auto"/>
          <w:sz w:val="24"/>
          <w:highlight w:val="none"/>
          <w:u w:val="single"/>
        </w:rPr>
        <w:t xml:space="preserve">     (采购人单位名称)    </w:t>
      </w:r>
      <w:r>
        <w:rPr>
          <w:rFonts w:hint="eastAsia" w:ascii="宋体" w:hAnsi="宋体"/>
          <w:color w:val="auto"/>
          <w:sz w:val="24"/>
          <w:highlight w:val="none"/>
        </w:rPr>
        <w:t>的</w:t>
      </w:r>
      <w:r>
        <w:rPr>
          <w:rFonts w:hint="eastAsia" w:asciiTheme="minorEastAsia" w:hAnsiTheme="minorEastAsia" w:eastAsiaTheme="minorEastAsia"/>
          <w:color w:val="auto"/>
          <w:sz w:val="24"/>
          <w:highlight w:val="none"/>
          <w:u w:val="single"/>
        </w:rPr>
        <w:t>2020-2021年食品安全监督抽检项目</w:t>
      </w:r>
      <w:r>
        <w:rPr>
          <w:rFonts w:hint="eastAsia" w:asciiTheme="minorEastAsia" w:hAnsiTheme="minorEastAsia" w:eastAsiaTheme="minorEastAsia"/>
          <w:color w:val="auto"/>
          <w:sz w:val="24"/>
          <w:highlight w:val="none"/>
          <w:u w:val="single"/>
          <w:lang w:eastAsia="zh-CN"/>
        </w:rPr>
        <w:t>（包组号：</w:t>
      </w:r>
      <w:r>
        <w:rPr>
          <w:rFonts w:hint="eastAsia" w:asciiTheme="minorEastAsia" w:hAnsiTheme="minorEastAsia" w:eastAsiaTheme="minorEastAsia"/>
          <w:color w:val="auto"/>
          <w:sz w:val="24"/>
          <w:highlight w:val="none"/>
          <w:u w:val="single"/>
          <w:lang w:val="en-US" w:eastAsia="zh-CN"/>
        </w:rPr>
        <w:t xml:space="preserve">   ）</w:t>
      </w:r>
      <w:r>
        <w:rPr>
          <w:rFonts w:hint="eastAsia" w:ascii="宋体" w:hAnsi="宋体"/>
          <w:color w:val="auto"/>
          <w:sz w:val="24"/>
          <w:highlight w:val="none"/>
        </w:rPr>
        <w:t>采购活动提供本企业制造的货物，由本企业承担工程、提供服务，或者提供其他（请填写：中型、小型、微型）企业制造的货物。本条所称货物不包括使用大型企业注册商标的货物。</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本公司对上述声明的真实性负责。如有虚假，将依法承担相应责任。</w:t>
      </w:r>
    </w:p>
    <w:p>
      <w:pPr>
        <w:spacing w:line="360" w:lineRule="auto"/>
        <w:ind w:firstLine="480" w:firstLineChars="200"/>
        <w:jc w:val="center"/>
        <w:rPr>
          <w:rFonts w:ascii="宋体" w:hAnsi="宋体"/>
          <w:color w:val="auto"/>
          <w:sz w:val="24"/>
          <w:highlight w:val="none"/>
        </w:rPr>
      </w:pPr>
      <w:r>
        <w:rPr>
          <w:rFonts w:hint="eastAsia"/>
          <w:color w:val="auto"/>
          <w:sz w:val="24"/>
          <w:highlight w:val="none"/>
        </w:rPr>
        <w:t>投标人名称</w:t>
      </w:r>
      <w:r>
        <w:rPr>
          <w:rFonts w:hint="eastAsia" w:ascii="宋体"/>
          <w:color w:val="auto"/>
          <w:sz w:val="24"/>
          <w:highlight w:val="none"/>
        </w:rPr>
        <w:t>（</w:t>
      </w:r>
      <w:r>
        <w:rPr>
          <w:rFonts w:hint="eastAsia" w:ascii="宋体" w:hAnsi="宋体"/>
          <w:color w:val="auto"/>
          <w:sz w:val="24"/>
          <w:highlight w:val="none"/>
        </w:rPr>
        <w:t>单位盖</w:t>
      </w:r>
      <w:r>
        <w:rPr>
          <w:rFonts w:hint="eastAsia"/>
          <w:color w:val="auto"/>
          <w:spacing w:val="4"/>
          <w:sz w:val="24"/>
          <w:highlight w:val="none"/>
        </w:rPr>
        <w:t>公章</w:t>
      </w:r>
      <w:r>
        <w:rPr>
          <w:rFonts w:hint="eastAsia" w:ascii="宋体"/>
          <w:color w:val="auto"/>
          <w:sz w:val="24"/>
          <w:highlight w:val="none"/>
        </w:rPr>
        <w:t>）</w:t>
      </w:r>
      <w:r>
        <w:rPr>
          <w:rFonts w:hint="eastAsia" w:ascii="宋体" w:hAnsi="宋体"/>
          <w:color w:val="auto"/>
          <w:sz w:val="24"/>
          <w:highlight w:val="none"/>
        </w:rPr>
        <w:t>：</w:t>
      </w:r>
    </w:p>
    <w:p>
      <w:pPr>
        <w:spacing w:line="360" w:lineRule="auto"/>
        <w:ind w:firstLine="480" w:firstLineChars="200"/>
        <w:jc w:val="center"/>
        <w:rPr>
          <w:b/>
          <w:color w:val="auto"/>
          <w:sz w:val="24"/>
          <w:highlight w:val="none"/>
        </w:rPr>
      </w:pPr>
      <w:r>
        <w:rPr>
          <w:rFonts w:hint="eastAsia" w:ascii="宋体" w:hAnsi="宋体"/>
          <w:color w:val="auto"/>
          <w:sz w:val="24"/>
          <w:highlight w:val="none"/>
        </w:rPr>
        <w:t xml:space="preserve">           日 期：</w:t>
      </w:r>
    </w:p>
    <w:p>
      <w:pPr>
        <w:snapToGrid w:val="0"/>
        <w:spacing w:line="360" w:lineRule="auto"/>
        <w:rPr>
          <w:rFonts w:ascii="宋体" w:hAnsi="宋体"/>
          <w:color w:val="auto"/>
          <w:spacing w:val="6"/>
          <w:sz w:val="24"/>
          <w:highlight w:val="none"/>
        </w:rPr>
      </w:pPr>
    </w:p>
    <w:p>
      <w:pPr>
        <w:snapToGrid w:val="0"/>
        <w:spacing w:line="360" w:lineRule="auto"/>
        <w:rPr>
          <w:rFonts w:ascii="宋体" w:hAnsi="宋体"/>
          <w:color w:val="auto"/>
          <w:spacing w:val="6"/>
          <w:sz w:val="24"/>
          <w:highlight w:val="none"/>
        </w:rPr>
      </w:pPr>
      <w:r>
        <w:rPr>
          <w:rFonts w:hint="eastAsia" w:ascii="宋体" w:hAnsi="宋体"/>
          <w:color w:val="auto"/>
          <w:spacing w:val="6"/>
          <w:sz w:val="24"/>
          <w:highlight w:val="none"/>
        </w:rPr>
        <w:t>说明：</w:t>
      </w:r>
    </w:p>
    <w:p>
      <w:pPr>
        <w:numPr>
          <w:ilvl w:val="0"/>
          <w:numId w:val="102"/>
        </w:numPr>
        <w:snapToGrid w:val="0"/>
        <w:spacing w:line="360" w:lineRule="auto"/>
        <w:rPr>
          <w:rFonts w:ascii="宋体" w:hAnsi="宋体"/>
          <w:bCs/>
          <w:color w:val="auto"/>
          <w:spacing w:val="6"/>
          <w:sz w:val="24"/>
          <w:highlight w:val="none"/>
        </w:rPr>
      </w:pPr>
      <w:r>
        <w:rPr>
          <w:rFonts w:hint="eastAsia" w:ascii="宋体" w:hAnsi="宋体"/>
          <w:color w:val="auto"/>
          <w:spacing w:val="6"/>
          <w:sz w:val="24"/>
          <w:highlight w:val="none"/>
        </w:rPr>
        <w:t>投标人</w:t>
      </w:r>
      <w:r>
        <w:rPr>
          <w:rFonts w:hint="eastAsia" w:ascii="宋体" w:hAnsi="宋体"/>
          <w:bCs/>
          <w:color w:val="auto"/>
          <w:spacing w:val="6"/>
          <w:sz w:val="24"/>
          <w:highlight w:val="none"/>
        </w:rPr>
        <w:t>认为其为中小企业的应提交本函，并明确企业类型，否则评审时不能享受相应的价格扣除。</w:t>
      </w:r>
    </w:p>
    <w:p>
      <w:pPr>
        <w:numPr>
          <w:ilvl w:val="0"/>
          <w:numId w:val="102"/>
        </w:numPr>
        <w:snapToGrid w:val="0"/>
        <w:spacing w:line="360" w:lineRule="auto"/>
        <w:rPr>
          <w:rFonts w:ascii="宋体" w:hAnsi="宋体"/>
          <w:bCs/>
          <w:color w:val="auto"/>
          <w:spacing w:val="6"/>
          <w:sz w:val="24"/>
          <w:highlight w:val="none"/>
        </w:rPr>
      </w:pPr>
      <w:r>
        <w:rPr>
          <w:rFonts w:hint="eastAsia" w:ascii="宋体" w:hAnsi="宋体"/>
          <w:color w:val="auto"/>
          <w:spacing w:val="6"/>
          <w:sz w:val="24"/>
          <w:highlight w:val="none"/>
        </w:rPr>
        <w:t>投标人</w:t>
      </w:r>
      <w:r>
        <w:rPr>
          <w:rFonts w:hint="eastAsia" w:ascii="宋体" w:hAnsi="宋体"/>
          <w:bCs/>
          <w:color w:val="auto"/>
          <w:spacing w:val="6"/>
          <w:sz w:val="24"/>
          <w:highlight w:val="none"/>
        </w:rPr>
        <w:t>提供其他小型或微型企业制造的货物时，应同时提供货物制造商出具的《中小企业声明函》，否则评审时不能享受相应的价格扣除。</w:t>
      </w:r>
    </w:p>
    <w:p>
      <w:pPr>
        <w:numPr>
          <w:ilvl w:val="0"/>
          <w:numId w:val="102"/>
        </w:numPr>
        <w:snapToGrid w:val="0"/>
        <w:spacing w:line="360" w:lineRule="auto"/>
        <w:rPr>
          <w:rFonts w:ascii="宋体" w:hAnsi="宋体"/>
          <w:color w:val="auto"/>
          <w:spacing w:val="6"/>
          <w:sz w:val="24"/>
          <w:highlight w:val="none"/>
        </w:rPr>
      </w:pPr>
      <w:r>
        <w:rPr>
          <w:rFonts w:hint="eastAsia" w:ascii="宋体" w:hAnsi="宋体"/>
          <w:color w:val="auto"/>
          <w:spacing w:val="6"/>
          <w:sz w:val="24"/>
          <w:highlight w:val="none"/>
        </w:rPr>
        <w:t>投标人</w:t>
      </w:r>
      <w:r>
        <w:rPr>
          <w:rFonts w:hint="eastAsia" w:ascii="宋体" w:hAnsi="宋体"/>
          <w:bCs/>
          <w:color w:val="auto"/>
          <w:spacing w:val="6"/>
          <w:sz w:val="24"/>
          <w:highlight w:val="none"/>
        </w:rPr>
        <w:t>提供的货物只有部分为小型或微型企业制造的，不享受价格扣除。</w:t>
      </w:r>
    </w:p>
    <w:p>
      <w:pPr>
        <w:widowControl/>
        <w:adjustRightInd/>
        <w:spacing w:line="240" w:lineRule="auto"/>
        <w:jc w:val="left"/>
        <w:textAlignment w:val="auto"/>
        <w:rPr>
          <w:rFonts w:ascii="黑体" w:hAnsi="黑体" w:eastAsia="黑体"/>
          <w:color w:val="auto"/>
          <w:sz w:val="32"/>
          <w:szCs w:val="32"/>
          <w:highlight w:val="none"/>
        </w:rPr>
      </w:pPr>
      <w:bookmarkStart w:id="66" w:name="OLE_LINK13"/>
      <w:bookmarkStart w:id="67" w:name="OLE_LINK14"/>
      <w:r>
        <w:rPr>
          <w:rFonts w:ascii="黑体" w:hAnsi="黑体" w:eastAsia="黑体"/>
          <w:color w:val="auto"/>
          <w:sz w:val="32"/>
          <w:szCs w:val="32"/>
          <w:highlight w:val="none"/>
        </w:rPr>
        <w:br w:type="page"/>
      </w:r>
    </w:p>
    <w:p>
      <w:pPr>
        <w:tabs>
          <w:tab w:val="left" w:pos="426"/>
        </w:tabs>
        <w:autoSpaceDE w:val="0"/>
        <w:autoSpaceDN w:val="0"/>
        <w:spacing w:line="360" w:lineRule="auto"/>
        <w:jc w:val="center"/>
        <w:outlineLvl w:val="3"/>
        <w:rPr>
          <w:rFonts w:ascii="黑体" w:hAnsi="黑体" w:eastAsia="黑体"/>
          <w:color w:val="auto"/>
          <w:sz w:val="32"/>
          <w:szCs w:val="32"/>
          <w:highlight w:val="none"/>
        </w:rPr>
      </w:pPr>
      <w:r>
        <w:rPr>
          <w:rFonts w:hint="eastAsia" w:ascii="黑体" w:hAnsi="黑体" w:eastAsia="黑体"/>
          <w:color w:val="auto"/>
          <w:sz w:val="32"/>
          <w:szCs w:val="32"/>
          <w:highlight w:val="none"/>
        </w:rPr>
        <w:t>残疾人福利性单位声明函（如有）</w:t>
      </w:r>
    </w:p>
    <w:bookmarkEnd w:id="66"/>
    <w:bookmarkEnd w:id="67"/>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Theme="minorEastAsia" w:hAnsiTheme="minorEastAsia" w:eastAsiaTheme="minorEastAsia"/>
          <w:color w:val="auto"/>
          <w:sz w:val="24"/>
          <w:highlight w:val="none"/>
          <w:u w:val="single"/>
        </w:rPr>
        <w:t>开平市市场监督管理局</w:t>
      </w:r>
      <w:r>
        <w:rPr>
          <w:rFonts w:hint="eastAsia" w:ascii="宋体" w:hAnsi="宋体"/>
          <w:color w:val="auto"/>
          <w:sz w:val="24"/>
          <w:highlight w:val="none"/>
        </w:rPr>
        <w:t>单位的</w:t>
      </w:r>
      <w:r>
        <w:rPr>
          <w:rFonts w:hint="eastAsia" w:asciiTheme="minorEastAsia" w:hAnsiTheme="minorEastAsia" w:eastAsiaTheme="minorEastAsia"/>
          <w:color w:val="auto"/>
          <w:sz w:val="24"/>
          <w:highlight w:val="none"/>
          <w:u w:val="single"/>
        </w:rPr>
        <w:t>2020-2021年食品安全监督抽检项目</w:t>
      </w:r>
      <w:r>
        <w:rPr>
          <w:rFonts w:hint="eastAsia" w:asciiTheme="minorEastAsia" w:hAnsiTheme="minorEastAsia" w:eastAsiaTheme="minorEastAsia"/>
          <w:color w:val="auto"/>
          <w:sz w:val="24"/>
          <w:highlight w:val="none"/>
          <w:u w:val="single"/>
          <w:lang w:eastAsia="zh-CN"/>
        </w:rPr>
        <w:t>（包组号：</w:t>
      </w:r>
      <w:r>
        <w:rPr>
          <w:rFonts w:hint="eastAsia" w:asciiTheme="minorEastAsia" w:hAnsiTheme="minorEastAsia" w:eastAsiaTheme="minorEastAsia"/>
          <w:color w:val="auto"/>
          <w:sz w:val="24"/>
          <w:highlight w:val="none"/>
          <w:u w:val="single"/>
          <w:lang w:val="en-US" w:eastAsia="zh-CN"/>
        </w:rPr>
        <w:t xml:space="preserve">   ）</w:t>
      </w:r>
      <w:r>
        <w:rPr>
          <w:rFonts w:hint="eastAsia" w:ascii="宋体" w:hAnsi="宋体"/>
          <w:color w:val="auto"/>
          <w:sz w:val="24"/>
          <w:highlight w:val="none"/>
        </w:rPr>
        <w:t>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本单位对上述声明的真实性负责。如有虚假，将依法承担相应责任。</w:t>
      </w:r>
    </w:p>
    <w:p>
      <w:pPr>
        <w:spacing w:line="360" w:lineRule="auto"/>
        <w:ind w:firstLine="480" w:firstLineChars="200"/>
        <w:jc w:val="center"/>
        <w:rPr>
          <w:rFonts w:ascii="宋体" w:hAnsi="宋体"/>
          <w:color w:val="auto"/>
          <w:sz w:val="24"/>
          <w:highlight w:val="none"/>
        </w:rPr>
      </w:pPr>
      <w:r>
        <w:rPr>
          <w:rFonts w:hint="eastAsia" w:ascii="宋体" w:hAnsi="宋体"/>
          <w:color w:val="auto"/>
          <w:sz w:val="24"/>
          <w:highlight w:val="none"/>
        </w:rPr>
        <w:t>投标人名称（单位盖公章）：</w:t>
      </w:r>
    </w:p>
    <w:p>
      <w:pPr>
        <w:spacing w:line="360" w:lineRule="auto"/>
        <w:ind w:firstLine="480" w:firstLineChars="200"/>
        <w:jc w:val="center"/>
        <w:rPr>
          <w:rFonts w:ascii="宋体" w:hAnsi="宋体"/>
          <w:color w:val="auto"/>
          <w:sz w:val="24"/>
          <w:highlight w:val="none"/>
        </w:rPr>
      </w:pPr>
      <w:r>
        <w:rPr>
          <w:rFonts w:hint="eastAsia" w:ascii="宋体" w:hAnsi="宋体"/>
          <w:color w:val="auto"/>
          <w:sz w:val="24"/>
          <w:highlight w:val="none"/>
        </w:rPr>
        <w:t>日  期：</w:t>
      </w:r>
    </w:p>
    <w:p>
      <w:pPr>
        <w:widowControl/>
        <w:jc w:val="left"/>
        <w:rPr>
          <w:rFonts w:ascii="黑体" w:hAnsi="黑体" w:eastAsia="黑体"/>
          <w:color w:val="auto"/>
          <w:sz w:val="32"/>
          <w:szCs w:val="32"/>
          <w:highlight w:val="none"/>
        </w:rPr>
      </w:pPr>
    </w:p>
    <w:p>
      <w:pPr>
        <w:widowControl/>
        <w:jc w:val="left"/>
        <w:rPr>
          <w:rFonts w:ascii="黑体" w:hAnsi="黑体" w:eastAsia="黑体"/>
          <w:color w:val="auto"/>
          <w:sz w:val="32"/>
          <w:szCs w:val="32"/>
          <w:highlight w:val="none"/>
        </w:rPr>
      </w:pPr>
    </w:p>
    <w:p>
      <w:pPr>
        <w:widowControl/>
        <w:jc w:val="left"/>
        <w:rPr>
          <w:rFonts w:ascii="黑体" w:hAnsi="黑体" w:eastAsia="黑体"/>
          <w:color w:val="auto"/>
          <w:sz w:val="32"/>
          <w:szCs w:val="32"/>
          <w:highlight w:val="none"/>
        </w:rPr>
      </w:pPr>
    </w:p>
    <w:p>
      <w:pPr>
        <w:widowControl/>
        <w:jc w:val="left"/>
        <w:rPr>
          <w:rFonts w:ascii="黑体" w:hAnsi="黑体" w:eastAsia="黑体"/>
          <w:color w:val="auto"/>
          <w:sz w:val="32"/>
          <w:szCs w:val="32"/>
          <w:highlight w:val="none"/>
        </w:rPr>
      </w:pPr>
    </w:p>
    <w:p>
      <w:pPr>
        <w:tabs>
          <w:tab w:val="left" w:pos="426"/>
        </w:tabs>
        <w:autoSpaceDE w:val="0"/>
        <w:autoSpaceDN w:val="0"/>
        <w:spacing w:line="360" w:lineRule="auto"/>
        <w:jc w:val="center"/>
        <w:outlineLvl w:val="3"/>
        <w:rPr>
          <w:rFonts w:ascii="黑体" w:hAnsi="黑体" w:eastAsia="黑体"/>
          <w:color w:val="auto"/>
          <w:sz w:val="32"/>
          <w:szCs w:val="32"/>
          <w:highlight w:val="none"/>
        </w:rPr>
      </w:pPr>
      <w:r>
        <w:rPr>
          <w:rFonts w:hint="eastAsia" w:ascii="黑体" w:hAnsi="黑体" w:eastAsia="黑体"/>
          <w:color w:val="auto"/>
          <w:sz w:val="32"/>
          <w:szCs w:val="32"/>
          <w:highlight w:val="none"/>
        </w:rPr>
        <w:t>监狱企业的证明文件（如有）</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说明：监狱企业参加政府采购活动时，应当提供由</w:t>
      </w:r>
      <w:r>
        <w:rPr>
          <w:rFonts w:hint="eastAsia" w:ascii="宋体" w:hAnsi="宋体"/>
          <w:b/>
          <w:color w:val="auto"/>
          <w:sz w:val="24"/>
          <w:highlight w:val="none"/>
        </w:rPr>
        <w:t>省级以上监狱管理局、戒毒管理局（含新疆生产建设兵团）出具的属于监狱企业的证明文件，</w:t>
      </w:r>
      <w:r>
        <w:rPr>
          <w:rFonts w:hint="eastAsia" w:ascii="宋体" w:hAnsi="宋体"/>
          <w:color w:val="auto"/>
          <w:sz w:val="24"/>
          <w:highlight w:val="none"/>
        </w:rPr>
        <w:t>并加盖投标单位公章。</w:t>
      </w:r>
    </w:p>
    <w:p>
      <w:pPr>
        <w:widowControl/>
        <w:jc w:val="left"/>
        <w:rPr>
          <w:rFonts w:ascii="黑体" w:hAnsi="黑体" w:eastAsia="黑体"/>
          <w:color w:val="auto"/>
          <w:sz w:val="32"/>
          <w:szCs w:val="32"/>
          <w:highlight w:val="none"/>
        </w:rPr>
      </w:pPr>
    </w:p>
    <w:p>
      <w:pPr>
        <w:widowControl/>
        <w:adjustRightInd/>
        <w:spacing w:line="240" w:lineRule="auto"/>
        <w:jc w:val="left"/>
        <w:textAlignment w:val="auto"/>
        <w:rPr>
          <w:rFonts w:ascii="黑体" w:hAnsi="黑体" w:eastAsia="黑体"/>
          <w:color w:val="auto"/>
          <w:sz w:val="32"/>
          <w:szCs w:val="32"/>
          <w:highlight w:val="none"/>
        </w:rPr>
      </w:pPr>
      <w:r>
        <w:rPr>
          <w:rFonts w:ascii="黑体" w:hAnsi="黑体" w:eastAsia="黑体"/>
          <w:color w:val="auto"/>
          <w:sz w:val="32"/>
          <w:szCs w:val="32"/>
          <w:highlight w:val="none"/>
        </w:rPr>
        <w:br w:type="page"/>
      </w:r>
    </w:p>
    <w:p>
      <w:pPr>
        <w:tabs>
          <w:tab w:val="left" w:pos="426"/>
        </w:tabs>
        <w:autoSpaceDE w:val="0"/>
        <w:autoSpaceDN w:val="0"/>
        <w:spacing w:line="360" w:lineRule="auto"/>
        <w:jc w:val="center"/>
        <w:outlineLvl w:val="3"/>
        <w:rPr>
          <w:rFonts w:ascii="宋体" w:hAnsi="宋体"/>
          <w:b/>
          <w:color w:val="auto"/>
          <w:sz w:val="24"/>
          <w:highlight w:val="none"/>
        </w:rPr>
      </w:pPr>
      <w:r>
        <w:rPr>
          <w:rFonts w:hint="eastAsia" w:ascii="黑体" w:hAnsi="黑体" w:eastAsia="黑体"/>
          <w:color w:val="auto"/>
          <w:sz w:val="32"/>
          <w:szCs w:val="32"/>
          <w:highlight w:val="none"/>
        </w:rPr>
        <w:t>政策功能情况（如有）</w:t>
      </w:r>
    </w:p>
    <w:p>
      <w:pPr>
        <w:tabs>
          <w:tab w:val="left" w:pos="7740"/>
        </w:tabs>
        <w:snapToGrid w:val="0"/>
        <w:spacing w:line="360" w:lineRule="auto"/>
        <w:rPr>
          <w:rFonts w:hint="eastAsia" w:ascii="宋体" w:hAnsi="宋体"/>
          <w:color w:val="auto"/>
          <w:sz w:val="24"/>
          <w:highlight w:val="none"/>
        </w:rPr>
      </w:pPr>
      <w:r>
        <w:rPr>
          <w:rFonts w:hint="eastAsia" w:ascii="宋体" w:hAnsi="宋体"/>
          <w:color w:val="auto"/>
          <w:sz w:val="24"/>
          <w:highlight w:val="none"/>
        </w:rPr>
        <w:t>项目名称：2020-2021年食品安全监督抽检项目</w:t>
      </w:r>
    </w:p>
    <w:p>
      <w:pPr>
        <w:tabs>
          <w:tab w:val="left" w:pos="7740"/>
        </w:tabs>
        <w:snapToGrid w:val="0"/>
        <w:spacing w:line="360" w:lineRule="auto"/>
        <w:rPr>
          <w:rFonts w:hint="eastAsia" w:ascii="宋体" w:hAnsi="宋体" w:eastAsia="宋体"/>
          <w:color w:val="auto"/>
          <w:sz w:val="24"/>
          <w:highlight w:val="none"/>
          <w:lang w:val="en-GB" w:eastAsia="zh-CN"/>
        </w:rPr>
      </w:pPr>
      <w:r>
        <w:rPr>
          <w:rFonts w:hint="eastAsia" w:ascii="宋体" w:hAnsi="宋体"/>
          <w:color w:val="auto"/>
          <w:sz w:val="24"/>
          <w:highlight w:val="none"/>
          <w:lang w:eastAsia="zh-CN"/>
        </w:rPr>
        <w:t>包组号：</w:t>
      </w:r>
    </w:p>
    <w:tbl>
      <w:tblPr>
        <w:tblStyle w:val="16"/>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003"/>
        <w:gridCol w:w="2182"/>
        <w:gridCol w:w="1663"/>
        <w:gridCol w:w="1977"/>
        <w:gridCol w:w="257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2" w:hRule="atLeast"/>
          <w:jc w:val="center"/>
        </w:trPr>
        <w:tc>
          <w:tcPr>
            <w:tcW w:w="534" w:type="pct"/>
            <w:vAlign w:val="center"/>
          </w:tcPr>
          <w:p>
            <w:pPr>
              <w:tabs>
                <w:tab w:val="left" w:pos="7740"/>
              </w:tabs>
              <w:snapToGrid w:val="0"/>
              <w:spacing w:line="288" w:lineRule="auto"/>
              <w:jc w:val="center"/>
              <w:rPr>
                <w:rFonts w:ascii="宋体" w:hAnsi="宋体"/>
                <w:color w:val="auto"/>
                <w:sz w:val="24"/>
                <w:highlight w:val="none"/>
                <w:lang w:val="en-GB"/>
              </w:rPr>
            </w:pPr>
            <w:r>
              <w:rPr>
                <w:rFonts w:hint="eastAsia" w:ascii="宋体" w:hAnsi="宋体"/>
                <w:color w:val="auto"/>
                <w:sz w:val="24"/>
                <w:highlight w:val="none"/>
                <w:lang w:val="en-GB"/>
              </w:rPr>
              <w:t>类别</w:t>
            </w:r>
          </w:p>
        </w:tc>
        <w:tc>
          <w:tcPr>
            <w:tcW w:w="1161" w:type="pct"/>
            <w:vAlign w:val="center"/>
          </w:tcPr>
          <w:p>
            <w:pPr>
              <w:tabs>
                <w:tab w:val="left" w:pos="7740"/>
              </w:tabs>
              <w:snapToGrid w:val="0"/>
              <w:spacing w:line="288" w:lineRule="auto"/>
              <w:jc w:val="center"/>
              <w:rPr>
                <w:rFonts w:ascii="宋体" w:hAnsi="宋体"/>
                <w:color w:val="auto"/>
                <w:sz w:val="24"/>
                <w:highlight w:val="none"/>
                <w:lang w:val="en-GB"/>
              </w:rPr>
            </w:pPr>
            <w:r>
              <w:rPr>
                <w:rFonts w:hint="eastAsia" w:ascii="宋体" w:hAnsi="宋体"/>
                <w:color w:val="auto"/>
                <w:sz w:val="24"/>
                <w:highlight w:val="none"/>
                <w:lang w:val="en-GB"/>
              </w:rPr>
              <w:t>投标产品</w:t>
            </w:r>
          </w:p>
          <w:p>
            <w:pPr>
              <w:tabs>
                <w:tab w:val="left" w:pos="7740"/>
              </w:tabs>
              <w:snapToGrid w:val="0"/>
              <w:spacing w:line="288" w:lineRule="auto"/>
              <w:jc w:val="center"/>
              <w:rPr>
                <w:rFonts w:ascii="宋体" w:hAnsi="宋体"/>
                <w:color w:val="auto"/>
                <w:sz w:val="24"/>
                <w:highlight w:val="none"/>
                <w:lang w:val="en-GB"/>
              </w:rPr>
            </w:pPr>
            <w:r>
              <w:rPr>
                <w:rFonts w:hint="eastAsia" w:ascii="宋体" w:hAnsi="宋体"/>
                <w:color w:val="auto"/>
                <w:sz w:val="24"/>
                <w:highlight w:val="none"/>
                <w:lang w:val="en-GB"/>
              </w:rPr>
              <w:t>（规格型号）</w:t>
            </w:r>
          </w:p>
        </w:tc>
        <w:tc>
          <w:tcPr>
            <w:tcW w:w="885" w:type="pct"/>
            <w:vAlign w:val="center"/>
          </w:tcPr>
          <w:p>
            <w:pPr>
              <w:tabs>
                <w:tab w:val="left" w:pos="7740"/>
              </w:tabs>
              <w:snapToGrid w:val="0"/>
              <w:spacing w:line="288" w:lineRule="auto"/>
              <w:jc w:val="center"/>
              <w:rPr>
                <w:rFonts w:ascii="宋体" w:hAnsi="宋体"/>
                <w:color w:val="auto"/>
                <w:sz w:val="24"/>
                <w:highlight w:val="none"/>
                <w:lang w:val="en-GB"/>
              </w:rPr>
            </w:pPr>
            <w:r>
              <w:rPr>
                <w:rFonts w:hint="eastAsia" w:ascii="宋体" w:hAnsi="宋体"/>
                <w:color w:val="auto"/>
                <w:sz w:val="24"/>
                <w:highlight w:val="none"/>
                <w:lang w:val="en-GB"/>
              </w:rPr>
              <w:t>生产者</w:t>
            </w:r>
          </w:p>
          <w:p>
            <w:pPr>
              <w:tabs>
                <w:tab w:val="left" w:pos="7740"/>
              </w:tabs>
              <w:snapToGrid w:val="0"/>
              <w:spacing w:line="288" w:lineRule="auto"/>
              <w:jc w:val="center"/>
              <w:rPr>
                <w:rFonts w:ascii="宋体" w:hAnsi="宋体"/>
                <w:color w:val="auto"/>
                <w:sz w:val="24"/>
                <w:highlight w:val="none"/>
                <w:lang w:val="en-GB"/>
              </w:rPr>
            </w:pPr>
            <w:r>
              <w:rPr>
                <w:rFonts w:hint="eastAsia" w:ascii="宋体" w:hAnsi="宋体"/>
                <w:color w:val="auto"/>
                <w:sz w:val="24"/>
                <w:highlight w:val="none"/>
                <w:lang w:val="en-GB"/>
              </w:rPr>
              <w:t>（制造商）</w:t>
            </w:r>
          </w:p>
        </w:tc>
        <w:tc>
          <w:tcPr>
            <w:tcW w:w="1052" w:type="pct"/>
            <w:vAlign w:val="center"/>
          </w:tcPr>
          <w:p>
            <w:pPr>
              <w:tabs>
                <w:tab w:val="left" w:pos="7740"/>
              </w:tabs>
              <w:snapToGrid w:val="0"/>
              <w:spacing w:line="288" w:lineRule="auto"/>
              <w:jc w:val="center"/>
              <w:rPr>
                <w:rFonts w:ascii="宋体" w:hAnsi="宋体"/>
                <w:color w:val="auto"/>
                <w:sz w:val="24"/>
                <w:highlight w:val="none"/>
                <w:lang w:val="en-GB"/>
              </w:rPr>
            </w:pPr>
            <w:r>
              <w:rPr>
                <w:rFonts w:ascii="宋体" w:hAnsi="宋体"/>
                <w:color w:val="auto"/>
                <w:sz w:val="24"/>
                <w:highlight w:val="none"/>
                <w:lang w:val="en-GB"/>
              </w:rPr>
              <w:t>证书编号</w:t>
            </w:r>
          </w:p>
        </w:tc>
        <w:tc>
          <w:tcPr>
            <w:tcW w:w="1369" w:type="pct"/>
            <w:tcBorders>
              <w:bottom w:val="single" w:color="auto" w:sz="4" w:space="0"/>
            </w:tcBorders>
            <w:vAlign w:val="center"/>
          </w:tcPr>
          <w:p>
            <w:pPr>
              <w:tabs>
                <w:tab w:val="left" w:pos="7740"/>
              </w:tabs>
              <w:snapToGrid w:val="0"/>
              <w:spacing w:line="288" w:lineRule="auto"/>
              <w:jc w:val="center"/>
              <w:rPr>
                <w:rFonts w:ascii="宋体" w:hAnsi="宋体"/>
                <w:color w:val="auto"/>
                <w:sz w:val="24"/>
                <w:highlight w:val="none"/>
                <w:lang w:val="en-GB"/>
              </w:rPr>
            </w:pPr>
            <w:r>
              <w:rPr>
                <w:rFonts w:hint="eastAsia" w:ascii="宋体" w:hAnsi="宋体"/>
                <w:color w:val="auto"/>
                <w:sz w:val="24"/>
                <w:highlight w:val="none"/>
                <w:lang w:val="en-GB"/>
              </w:rPr>
              <w:t>所投节能产品金额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534" w:type="pct"/>
            <w:vMerge w:val="restart"/>
            <w:vAlign w:val="center"/>
          </w:tcPr>
          <w:p>
            <w:pPr>
              <w:tabs>
                <w:tab w:val="left" w:pos="7740"/>
              </w:tabs>
              <w:snapToGrid w:val="0"/>
              <w:spacing w:line="288" w:lineRule="auto"/>
              <w:rPr>
                <w:rFonts w:ascii="宋体" w:hAnsi="宋体"/>
                <w:color w:val="auto"/>
                <w:sz w:val="24"/>
                <w:highlight w:val="none"/>
                <w:lang w:val="en-GB"/>
              </w:rPr>
            </w:pPr>
            <w:r>
              <w:rPr>
                <w:rFonts w:hint="eastAsia" w:ascii="宋体" w:hAnsi="宋体"/>
                <w:color w:val="auto"/>
                <w:sz w:val="24"/>
                <w:highlight w:val="none"/>
                <w:lang w:val="en-GB"/>
              </w:rPr>
              <w:t>节能</w:t>
            </w:r>
          </w:p>
          <w:p>
            <w:pPr>
              <w:tabs>
                <w:tab w:val="left" w:pos="7740"/>
              </w:tabs>
              <w:snapToGrid w:val="0"/>
              <w:spacing w:line="288" w:lineRule="auto"/>
              <w:rPr>
                <w:rFonts w:ascii="宋体" w:hAnsi="宋体"/>
                <w:color w:val="auto"/>
                <w:sz w:val="24"/>
                <w:highlight w:val="none"/>
                <w:lang w:val="en-GB"/>
              </w:rPr>
            </w:pPr>
            <w:r>
              <w:rPr>
                <w:rFonts w:hint="eastAsia" w:ascii="宋体" w:hAnsi="宋体"/>
                <w:color w:val="auto"/>
                <w:sz w:val="24"/>
                <w:highlight w:val="none"/>
                <w:lang w:val="en-GB"/>
              </w:rPr>
              <w:t>产品</w:t>
            </w:r>
          </w:p>
        </w:tc>
        <w:tc>
          <w:tcPr>
            <w:tcW w:w="1161" w:type="pct"/>
            <w:vAlign w:val="center"/>
          </w:tcPr>
          <w:p>
            <w:pPr>
              <w:tabs>
                <w:tab w:val="left" w:pos="7740"/>
              </w:tabs>
              <w:snapToGrid w:val="0"/>
              <w:spacing w:line="288" w:lineRule="auto"/>
              <w:rPr>
                <w:rFonts w:ascii="宋体" w:hAnsi="宋体"/>
                <w:color w:val="auto"/>
                <w:sz w:val="24"/>
                <w:highlight w:val="none"/>
                <w:lang w:val="en-GB"/>
              </w:rPr>
            </w:pPr>
          </w:p>
        </w:tc>
        <w:tc>
          <w:tcPr>
            <w:tcW w:w="885" w:type="pct"/>
            <w:vAlign w:val="center"/>
          </w:tcPr>
          <w:p>
            <w:pPr>
              <w:tabs>
                <w:tab w:val="left" w:pos="7740"/>
              </w:tabs>
              <w:snapToGrid w:val="0"/>
              <w:spacing w:line="288" w:lineRule="auto"/>
              <w:rPr>
                <w:rFonts w:ascii="宋体" w:hAnsi="宋体"/>
                <w:color w:val="auto"/>
                <w:sz w:val="24"/>
                <w:highlight w:val="none"/>
                <w:lang w:val="en-GB"/>
              </w:rPr>
            </w:pPr>
          </w:p>
        </w:tc>
        <w:tc>
          <w:tcPr>
            <w:tcW w:w="1052" w:type="pct"/>
            <w:vAlign w:val="center"/>
          </w:tcPr>
          <w:p>
            <w:pPr>
              <w:tabs>
                <w:tab w:val="left" w:pos="7740"/>
              </w:tabs>
              <w:snapToGrid w:val="0"/>
              <w:spacing w:line="288" w:lineRule="auto"/>
              <w:rPr>
                <w:rFonts w:ascii="宋体" w:hAnsi="宋体"/>
                <w:color w:val="auto"/>
                <w:sz w:val="24"/>
                <w:highlight w:val="none"/>
                <w:lang w:val="en-GB"/>
              </w:rPr>
            </w:pPr>
          </w:p>
        </w:tc>
        <w:tc>
          <w:tcPr>
            <w:tcW w:w="1369" w:type="pct"/>
            <w:vAlign w:val="center"/>
          </w:tcPr>
          <w:p>
            <w:pPr>
              <w:tabs>
                <w:tab w:val="left" w:pos="7740"/>
              </w:tabs>
              <w:snapToGrid w:val="0"/>
              <w:spacing w:line="288" w:lineRule="auto"/>
              <w:rPr>
                <w:rFonts w:ascii="宋体" w:hAnsi="宋体"/>
                <w:color w:val="auto"/>
                <w:sz w:val="24"/>
                <w:highlight w:val="none"/>
                <w:lang w:val="en-G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534" w:type="pct"/>
            <w:vMerge w:val="continue"/>
            <w:vAlign w:val="center"/>
          </w:tcPr>
          <w:p>
            <w:pPr>
              <w:tabs>
                <w:tab w:val="left" w:pos="7740"/>
              </w:tabs>
              <w:snapToGrid w:val="0"/>
              <w:spacing w:line="288" w:lineRule="auto"/>
              <w:rPr>
                <w:rFonts w:ascii="宋体" w:hAnsi="宋体"/>
                <w:color w:val="auto"/>
                <w:sz w:val="24"/>
                <w:highlight w:val="none"/>
                <w:lang w:val="en-GB"/>
              </w:rPr>
            </w:pPr>
          </w:p>
        </w:tc>
        <w:tc>
          <w:tcPr>
            <w:tcW w:w="1161" w:type="pct"/>
            <w:vAlign w:val="center"/>
          </w:tcPr>
          <w:p>
            <w:pPr>
              <w:tabs>
                <w:tab w:val="left" w:pos="7740"/>
              </w:tabs>
              <w:snapToGrid w:val="0"/>
              <w:spacing w:line="288" w:lineRule="auto"/>
              <w:rPr>
                <w:rFonts w:ascii="宋体" w:hAnsi="宋体"/>
                <w:color w:val="auto"/>
                <w:sz w:val="24"/>
                <w:highlight w:val="none"/>
                <w:lang w:val="en-GB"/>
              </w:rPr>
            </w:pPr>
          </w:p>
        </w:tc>
        <w:tc>
          <w:tcPr>
            <w:tcW w:w="885" w:type="pct"/>
            <w:vAlign w:val="center"/>
          </w:tcPr>
          <w:p>
            <w:pPr>
              <w:tabs>
                <w:tab w:val="left" w:pos="7740"/>
              </w:tabs>
              <w:snapToGrid w:val="0"/>
              <w:spacing w:line="288" w:lineRule="auto"/>
              <w:rPr>
                <w:rFonts w:ascii="宋体" w:hAnsi="宋体"/>
                <w:color w:val="auto"/>
                <w:sz w:val="24"/>
                <w:highlight w:val="none"/>
                <w:lang w:val="en-GB"/>
              </w:rPr>
            </w:pPr>
          </w:p>
        </w:tc>
        <w:tc>
          <w:tcPr>
            <w:tcW w:w="1052" w:type="pct"/>
            <w:vAlign w:val="center"/>
          </w:tcPr>
          <w:p>
            <w:pPr>
              <w:tabs>
                <w:tab w:val="left" w:pos="7740"/>
              </w:tabs>
              <w:snapToGrid w:val="0"/>
              <w:spacing w:line="288" w:lineRule="auto"/>
              <w:rPr>
                <w:rFonts w:ascii="宋体" w:hAnsi="宋体"/>
                <w:color w:val="auto"/>
                <w:sz w:val="24"/>
                <w:highlight w:val="none"/>
                <w:lang w:val="en-GB"/>
              </w:rPr>
            </w:pPr>
          </w:p>
        </w:tc>
        <w:tc>
          <w:tcPr>
            <w:tcW w:w="1369" w:type="pct"/>
            <w:vAlign w:val="center"/>
          </w:tcPr>
          <w:p>
            <w:pPr>
              <w:tabs>
                <w:tab w:val="left" w:pos="7740"/>
              </w:tabs>
              <w:snapToGrid w:val="0"/>
              <w:spacing w:line="288" w:lineRule="auto"/>
              <w:rPr>
                <w:rFonts w:ascii="宋体" w:hAnsi="宋体"/>
                <w:color w:val="auto"/>
                <w:sz w:val="24"/>
                <w:highlight w:val="none"/>
                <w:lang w:val="en-G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63" w:hRule="atLeast"/>
          <w:jc w:val="center"/>
        </w:trPr>
        <w:tc>
          <w:tcPr>
            <w:tcW w:w="534" w:type="pct"/>
            <w:vMerge w:val="continue"/>
            <w:vAlign w:val="center"/>
          </w:tcPr>
          <w:p>
            <w:pPr>
              <w:tabs>
                <w:tab w:val="left" w:pos="7740"/>
              </w:tabs>
              <w:snapToGrid w:val="0"/>
              <w:spacing w:line="288" w:lineRule="auto"/>
              <w:rPr>
                <w:rFonts w:ascii="宋体" w:hAnsi="宋体"/>
                <w:color w:val="auto"/>
                <w:sz w:val="24"/>
                <w:highlight w:val="none"/>
                <w:lang w:val="en-GB"/>
              </w:rPr>
            </w:pPr>
          </w:p>
        </w:tc>
        <w:tc>
          <w:tcPr>
            <w:tcW w:w="4466" w:type="pct"/>
            <w:gridSpan w:val="4"/>
            <w:vAlign w:val="center"/>
          </w:tcPr>
          <w:p>
            <w:pPr>
              <w:tabs>
                <w:tab w:val="left" w:pos="7740"/>
              </w:tabs>
              <w:snapToGrid w:val="0"/>
              <w:spacing w:line="288" w:lineRule="auto"/>
              <w:rPr>
                <w:rFonts w:ascii="宋体" w:hAnsi="宋体"/>
                <w:color w:val="auto"/>
                <w:sz w:val="24"/>
                <w:highlight w:val="none"/>
                <w:lang w:val="en-GB"/>
              </w:rPr>
            </w:pPr>
          </w:p>
          <w:p>
            <w:pPr>
              <w:tabs>
                <w:tab w:val="left" w:pos="7740"/>
              </w:tabs>
              <w:snapToGrid w:val="0"/>
              <w:spacing w:line="288" w:lineRule="auto"/>
              <w:rPr>
                <w:rFonts w:ascii="宋体" w:hAnsi="宋体"/>
                <w:color w:val="auto"/>
                <w:sz w:val="24"/>
                <w:highlight w:val="none"/>
                <w:u w:val="single"/>
                <w:lang w:val="en-GB"/>
              </w:rPr>
            </w:pPr>
            <w:r>
              <w:rPr>
                <w:rFonts w:hint="eastAsia" w:ascii="宋体" w:hAnsi="宋体"/>
                <w:color w:val="auto"/>
                <w:sz w:val="24"/>
                <w:highlight w:val="none"/>
                <w:lang w:val="en-GB"/>
              </w:rPr>
              <w:t xml:space="preserve">节能产品总金额： </w:t>
            </w:r>
          </w:p>
          <w:p>
            <w:pPr>
              <w:tabs>
                <w:tab w:val="left" w:pos="7740"/>
              </w:tabs>
              <w:snapToGrid w:val="0"/>
              <w:spacing w:line="288" w:lineRule="auto"/>
              <w:rPr>
                <w:rFonts w:ascii="宋体" w:hAnsi="宋体"/>
                <w:color w:val="auto"/>
                <w:sz w:val="24"/>
                <w:highlight w:val="none"/>
                <w:lang w:val="en-GB"/>
              </w:rPr>
            </w:pPr>
          </w:p>
          <w:p>
            <w:pPr>
              <w:tabs>
                <w:tab w:val="left" w:pos="7740"/>
              </w:tabs>
              <w:snapToGrid w:val="0"/>
              <w:spacing w:line="288" w:lineRule="auto"/>
              <w:rPr>
                <w:rFonts w:ascii="宋体" w:hAnsi="宋体"/>
                <w:color w:val="auto"/>
                <w:sz w:val="24"/>
                <w:highlight w:val="none"/>
                <w:lang w:val="en-GB"/>
              </w:rPr>
            </w:pPr>
            <w:r>
              <w:rPr>
                <w:rFonts w:hint="eastAsia" w:ascii="宋体" w:hAnsi="宋体"/>
                <w:color w:val="auto"/>
                <w:sz w:val="24"/>
                <w:highlight w:val="none"/>
                <w:lang w:val="en-GB"/>
              </w:rPr>
              <w:t>节能产品金额占总投标报价比重：%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534" w:type="pct"/>
            <w:vMerge w:val="restart"/>
            <w:vAlign w:val="center"/>
          </w:tcPr>
          <w:p>
            <w:pPr>
              <w:tabs>
                <w:tab w:val="left" w:pos="7740"/>
              </w:tabs>
              <w:snapToGrid w:val="0"/>
              <w:spacing w:line="288" w:lineRule="auto"/>
              <w:rPr>
                <w:rFonts w:ascii="宋体" w:hAnsi="宋体"/>
                <w:color w:val="auto"/>
                <w:sz w:val="24"/>
                <w:highlight w:val="none"/>
                <w:lang w:val="en-GB"/>
              </w:rPr>
            </w:pPr>
            <w:r>
              <w:rPr>
                <w:rFonts w:hint="eastAsia" w:ascii="宋体" w:hAnsi="宋体"/>
                <w:color w:val="auto"/>
                <w:sz w:val="24"/>
                <w:highlight w:val="none"/>
                <w:lang w:val="en-GB"/>
              </w:rPr>
              <w:t>环保标志产品</w:t>
            </w:r>
          </w:p>
        </w:tc>
        <w:tc>
          <w:tcPr>
            <w:tcW w:w="1161" w:type="pct"/>
            <w:vAlign w:val="center"/>
          </w:tcPr>
          <w:p>
            <w:pPr>
              <w:tabs>
                <w:tab w:val="left" w:pos="7740"/>
              </w:tabs>
              <w:snapToGrid w:val="0"/>
              <w:spacing w:line="288" w:lineRule="auto"/>
              <w:jc w:val="center"/>
              <w:rPr>
                <w:rFonts w:ascii="宋体" w:hAnsi="宋体"/>
                <w:color w:val="auto"/>
                <w:sz w:val="24"/>
                <w:highlight w:val="none"/>
                <w:lang w:val="en-GB"/>
              </w:rPr>
            </w:pPr>
            <w:r>
              <w:rPr>
                <w:rFonts w:hint="eastAsia" w:ascii="宋体" w:hAnsi="宋体"/>
                <w:color w:val="auto"/>
                <w:sz w:val="24"/>
                <w:highlight w:val="none"/>
                <w:lang w:val="en-GB"/>
              </w:rPr>
              <w:t>投标产品</w:t>
            </w:r>
          </w:p>
          <w:p>
            <w:pPr>
              <w:tabs>
                <w:tab w:val="left" w:pos="7740"/>
              </w:tabs>
              <w:snapToGrid w:val="0"/>
              <w:spacing w:line="288" w:lineRule="auto"/>
              <w:jc w:val="center"/>
              <w:rPr>
                <w:rFonts w:ascii="宋体" w:hAnsi="宋体"/>
                <w:color w:val="auto"/>
                <w:sz w:val="24"/>
                <w:highlight w:val="none"/>
                <w:lang w:val="en-GB"/>
              </w:rPr>
            </w:pPr>
            <w:r>
              <w:rPr>
                <w:rFonts w:hint="eastAsia" w:ascii="宋体" w:hAnsi="宋体"/>
                <w:color w:val="auto"/>
                <w:sz w:val="24"/>
                <w:highlight w:val="none"/>
                <w:lang w:val="en-GB"/>
              </w:rPr>
              <w:t>（规格型号）</w:t>
            </w:r>
          </w:p>
        </w:tc>
        <w:tc>
          <w:tcPr>
            <w:tcW w:w="885" w:type="pct"/>
            <w:vAlign w:val="center"/>
          </w:tcPr>
          <w:p>
            <w:pPr>
              <w:tabs>
                <w:tab w:val="left" w:pos="7740"/>
              </w:tabs>
              <w:snapToGrid w:val="0"/>
              <w:spacing w:line="288" w:lineRule="auto"/>
              <w:jc w:val="center"/>
              <w:rPr>
                <w:rFonts w:ascii="宋体" w:hAnsi="宋体"/>
                <w:color w:val="auto"/>
                <w:sz w:val="24"/>
                <w:highlight w:val="none"/>
                <w:lang w:val="en-GB"/>
              </w:rPr>
            </w:pPr>
            <w:r>
              <w:rPr>
                <w:rFonts w:hint="eastAsia" w:ascii="宋体" w:hAnsi="宋体"/>
                <w:color w:val="auto"/>
                <w:sz w:val="24"/>
                <w:highlight w:val="none"/>
                <w:lang w:val="en-GB"/>
              </w:rPr>
              <w:t>生产者</w:t>
            </w:r>
          </w:p>
          <w:p>
            <w:pPr>
              <w:tabs>
                <w:tab w:val="left" w:pos="7740"/>
              </w:tabs>
              <w:snapToGrid w:val="0"/>
              <w:spacing w:line="288" w:lineRule="auto"/>
              <w:jc w:val="center"/>
              <w:rPr>
                <w:rFonts w:ascii="宋体" w:hAnsi="宋体"/>
                <w:color w:val="auto"/>
                <w:sz w:val="24"/>
                <w:highlight w:val="none"/>
                <w:lang w:val="en-GB"/>
              </w:rPr>
            </w:pPr>
            <w:r>
              <w:rPr>
                <w:rFonts w:hint="eastAsia" w:ascii="宋体" w:hAnsi="宋体"/>
                <w:color w:val="auto"/>
                <w:sz w:val="24"/>
                <w:highlight w:val="none"/>
                <w:lang w:val="en-GB"/>
              </w:rPr>
              <w:t>（制造商）</w:t>
            </w:r>
          </w:p>
        </w:tc>
        <w:tc>
          <w:tcPr>
            <w:tcW w:w="1052" w:type="pct"/>
            <w:vAlign w:val="center"/>
          </w:tcPr>
          <w:p>
            <w:pPr>
              <w:tabs>
                <w:tab w:val="left" w:pos="7740"/>
              </w:tabs>
              <w:snapToGrid w:val="0"/>
              <w:spacing w:line="288" w:lineRule="auto"/>
              <w:jc w:val="center"/>
              <w:rPr>
                <w:rFonts w:ascii="宋体" w:hAnsi="宋体"/>
                <w:color w:val="auto"/>
                <w:sz w:val="24"/>
                <w:highlight w:val="none"/>
                <w:lang w:val="en-GB"/>
              </w:rPr>
            </w:pPr>
            <w:r>
              <w:rPr>
                <w:rFonts w:ascii="宋体" w:hAnsi="宋体"/>
                <w:color w:val="auto"/>
                <w:sz w:val="24"/>
                <w:highlight w:val="none"/>
                <w:lang w:val="en-GB"/>
              </w:rPr>
              <w:t>证书编号</w:t>
            </w:r>
          </w:p>
        </w:tc>
        <w:tc>
          <w:tcPr>
            <w:tcW w:w="1369" w:type="pct"/>
            <w:tcBorders>
              <w:top w:val="single" w:color="auto" w:sz="4" w:space="0"/>
            </w:tcBorders>
            <w:vAlign w:val="center"/>
          </w:tcPr>
          <w:p>
            <w:pPr>
              <w:tabs>
                <w:tab w:val="left" w:pos="7740"/>
              </w:tabs>
              <w:snapToGrid w:val="0"/>
              <w:spacing w:line="288" w:lineRule="auto"/>
              <w:jc w:val="center"/>
              <w:rPr>
                <w:rFonts w:ascii="宋体" w:hAnsi="宋体"/>
                <w:color w:val="auto"/>
                <w:sz w:val="24"/>
                <w:highlight w:val="none"/>
                <w:lang w:val="en-GB"/>
              </w:rPr>
            </w:pPr>
            <w:r>
              <w:rPr>
                <w:rFonts w:hint="eastAsia" w:ascii="宋体" w:hAnsi="宋体"/>
                <w:color w:val="auto"/>
                <w:sz w:val="24"/>
                <w:highlight w:val="none"/>
                <w:lang w:val="en-GB"/>
              </w:rPr>
              <w:t>所投环保标志产品金额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534" w:type="pct"/>
            <w:vMerge w:val="continue"/>
            <w:vAlign w:val="center"/>
          </w:tcPr>
          <w:p>
            <w:pPr>
              <w:tabs>
                <w:tab w:val="left" w:pos="7740"/>
              </w:tabs>
              <w:snapToGrid w:val="0"/>
              <w:spacing w:line="288" w:lineRule="auto"/>
              <w:rPr>
                <w:rFonts w:ascii="宋体" w:hAnsi="宋体"/>
                <w:color w:val="auto"/>
                <w:sz w:val="24"/>
                <w:highlight w:val="none"/>
                <w:lang w:val="en-GB"/>
              </w:rPr>
            </w:pPr>
          </w:p>
        </w:tc>
        <w:tc>
          <w:tcPr>
            <w:tcW w:w="1161" w:type="pct"/>
            <w:vAlign w:val="center"/>
          </w:tcPr>
          <w:p>
            <w:pPr>
              <w:tabs>
                <w:tab w:val="left" w:pos="7740"/>
              </w:tabs>
              <w:snapToGrid w:val="0"/>
              <w:spacing w:line="288" w:lineRule="auto"/>
              <w:rPr>
                <w:rFonts w:ascii="宋体" w:hAnsi="宋体"/>
                <w:color w:val="auto"/>
                <w:sz w:val="24"/>
                <w:highlight w:val="none"/>
                <w:lang w:val="en-GB"/>
              </w:rPr>
            </w:pPr>
          </w:p>
        </w:tc>
        <w:tc>
          <w:tcPr>
            <w:tcW w:w="885" w:type="pct"/>
            <w:vAlign w:val="center"/>
          </w:tcPr>
          <w:p>
            <w:pPr>
              <w:tabs>
                <w:tab w:val="left" w:pos="7740"/>
              </w:tabs>
              <w:snapToGrid w:val="0"/>
              <w:spacing w:line="288" w:lineRule="auto"/>
              <w:rPr>
                <w:rFonts w:ascii="宋体" w:hAnsi="宋体"/>
                <w:bCs/>
                <w:color w:val="auto"/>
                <w:sz w:val="24"/>
                <w:highlight w:val="none"/>
                <w:lang w:val="en-GB"/>
              </w:rPr>
            </w:pPr>
          </w:p>
        </w:tc>
        <w:tc>
          <w:tcPr>
            <w:tcW w:w="1052" w:type="pct"/>
            <w:vAlign w:val="center"/>
          </w:tcPr>
          <w:p>
            <w:pPr>
              <w:tabs>
                <w:tab w:val="left" w:pos="7740"/>
              </w:tabs>
              <w:snapToGrid w:val="0"/>
              <w:spacing w:line="288" w:lineRule="auto"/>
              <w:rPr>
                <w:rFonts w:ascii="宋体" w:hAnsi="宋体"/>
                <w:bCs/>
                <w:color w:val="auto"/>
                <w:sz w:val="24"/>
                <w:highlight w:val="none"/>
                <w:lang w:val="en-GB"/>
              </w:rPr>
            </w:pPr>
          </w:p>
        </w:tc>
        <w:tc>
          <w:tcPr>
            <w:tcW w:w="1369" w:type="pct"/>
            <w:tcBorders>
              <w:top w:val="single" w:color="auto" w:sz="4" w:space="0"/>
            </w:tcBorders>
            <w:vAlign w:val="center"/>
          </w:tcPr>
          <w:p>
            <w:pPr>
              <w:tabs>
                <w:tab w:val="left" w:pos="7740"/>
              </w:tabs>
              <w:snapToGrid w:val="0"/>
              <w:spacing w:line="288" w:lineRule="auto"/>
              <w:rPr>
                <w:rFonts w:ascii="宋体" w:hAnsi="宋体"/>
                <w:bCs/>
                <w:color w:val="auto"/>
                <w:sz w:val="24"/>
                <w:highlight w:val="none"/>
                <w:lang w:val="en-G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534" w:type="pct"/>
            <w:vMerge w:val="continue"/>
            <w:vAlign w:val="center"/>
          </w:tcPr>
          <w:p>
            <w:pPr>
              <w:tabs>
                <w:tab w:val="left" w:pos="7740"/>
              </w:tabs>
              <w:snapToGrid w:val="0"/>
              <w:spacing w:line="288" w:lineRule="auto"/>
              <w:rPr>
                <w:rFonts w:ascii="宋体" w:hAnsi="宋体"/>
                <w:color w:val="auto"/>
                <w:sz w:val="24"/>
                <w:highlight w:val="none"/>
                <w:lang w:val="en-GB"/>
              </w:rPr>
            </w:pPr>
          </w:p>
        </w:tc>
        <w:tc>
          <w:tcPr>
            <w:tcW w:w="1161" w:type="pct"/>
            <w:vAlign w:val="center"/>
          </w:tcPr>
          <w:p>
            <w:pPr>
              <w:tabs>
                <w:tab w:val="left" w:pos="7740"/>
              </w:tabs>
              <w:snapToGrid w:val="0"/>
              <w:spacing w:line="288" w:lineRule="auto"/>
              <w:rPr>
                <w:rFonts w:ascii="宋体" w:hAnsi="宋体"/>
                <w:color w:val="auto"/>
                <w:sz w:val="24"/>
                <w:highlight w:val="none"/>
                <w:lang w:val="en-GB"/>
              </w:rPr>
            </w:pPr>
          </w:p>
        </w:tc>
        <w:tc>
          <w:tcPr>
            <w:tcW w:w="885" w:type="pct"/>
            <w:vAlign w:val="center"/>
          </w:tcPr>
          <w:p>
            <w:pPr>
              <w:tabs>
                <w:tab w:val="left" w:pos="7740"/>
              </w:tabs>
              <w:snapToGrid w:val="0"/>
              <w:spacing w:line="288" w:lineRule="auto"/>
              <w:rPr>
                <w:rFonts w:ascii="宋体" w:hAnsi="宋体"/>
                <w:bCs/>
                <w:color w:val="auto"/>
                <w:sz w:val="24"/>
                <w:highlight w:val="none"/>
                <w:lang w:val="en-GB"/>
              </w:rPr>
            </w:pPr>
          </w:p>
        </w:tc>
        <w:tc>
          <w:tcPr>
            <w:tcW w:w="1052" w:type="pct"/>
            <w:vAlign w:val="center"/>
          </w:tcPr>
          <w:p>
            <w:pPr>
              <w:tabs>
                <w:tab w:val="left" w:pos="7740"/>
              </w:tabs>
              <w:snapToGrid w:val="0"/>
              <w:spacing w:line="288" w:lineRule="auto"/>
              <w:rPr>
                <w:rFonts w:ascii="宋体" w:hAnsi="宋体"/>
                <w:bCs/>
                <w:color w:val="auto"/>
                <w:sz w:val="24"/>
                <w:highlight w:val="none"/>
                <w:lang w:val="en-GB"/>
              </w:rPr>
            </w:pPr>
          </w:p>
        </w:tc>
        <w:tc>
          <w:tcPr>
            <w:tcW w:w="1369" w:type="pct"/>
            <w:vAlign w:val="center"/>
          </w:tcPr>
          <w:p>
            <w:pPr>
              <w:tabs>
                <w:tab w:val="left" w:pos="7740"/>
              </w:tabs>
              <w:snapToGrid w:val="0"/>
              <w:spacing w:line="288" w:lineRule="auto"/>
              <w:rPr>
                <w:rFonts w:ascii="宋体" w:hAnsi="宋体"/>
                <w:bCs/>
                <w:color w:val="auto"/>
                <w:sz w:val="24"/>
                <w:highlight w:val="none"/>
                <w:lang w:val="en-G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2" w:hRule="atLeast"/>
          <w:jc w:val="center"/>
        </w:trPr>
        <w:tc>
          <w:tcPr>
            <w:tcW w:w="534" w:type="pct"/>
            <w:vMerge w:val="continue"/>
            <w:tcBorders>
              <w:bottom w:val="single" w:color="auto" w:sz="12" w:space="0"/>
            </w:tcBorders>
            <w:vAlign w:val="center"/>
          </w:tcPr>
          <w:p>
            <w:pPr>
              <w:tabs>
                <w:tab w:val="left" w:pos="7740"/>
              </w:tabs>
              <w:snapToGrid w:val="0"/>
              <w:spacing w:line="288" w:lineRule="auto"/>
              <w:rPr>
                <w:rFonts w:ascii="宋体" w:hAnsi="宋体"/>
                <w:color w:val="auto"/>
                <w:sz w:val="24"/>
                <w:highlight w:val="none"/>
                <w:lang w:val="en-GB"/>
              </w:rPr>
            </w:pPr>
          </w:p>
        </w:tc>
        <w:tc>
          <w:tcPr>
            <w:tcW w:w="4466" w:type="pct"/>
            <w:gridSpan w:val="4"/>
            <w:tcBorders>
              <w:bottom w:val="single" w:color="auto" w:sz="12" w:space="0"/>
            </w:tcBorders>
            <w:vAlign w:val="center"/>
          </w:tcPr>
          <w:p>
            <w:pPr>
              <w:tabs>
                <w:tab w:val="left" w:pos="7740"/>
              </w:tabs>
              <w:snapToGrid w:val="0"/>
              <w:spacing w:line="288" w:lineRule="auto"/>
              <w:rPr>
                <w:rFonts w:ascii="宋体" w:hAnsi="宋体"/>
                <w:color w:val="auto"/>
                <w:sz w:val="24"/>
                <w:highlight w:val="none"/>
                <w:lang w:val="en-GB"/>
              </w:rPr>
            </w:pPr>
          </w:p>
          <w:p>
            <w:pPr>
              <w:tabs>
                <w:tab w:val="left" w:pos="7740"/>
              </w:tabs>
              <w:snapToGrid w:val="0"/>
              <w:spacing w:line="288" w:lineRule="auto"/>
              <w:rPr>
                <w:rFonts w:ascii="宋体" w:hAnsi="宋体"/>
                <w:color w:val="auto"/>
                <w:sz w:val="24"/>
                <w:highlight w:val="none"/>
                <w:u w:val="single"/>
                <w:lang w:val="en-GB"/>
              </w:rPr>
            </w:pPr>
            <w:r>
              <w:rPr>
                <w:rFonts w:hint="eastAsia" w:ascii="宋体" w:hAnsi="宋体"/>
                <w:color w:val="auto"/>
                <w:sz w:val="24"/>
                <w:highlight w:val="none"/>
                <w:lang w:val="en-GB"/>
              </w:rPr>
              <w:t xml:space="preserve">环保标志产品总金额： </w:t>
            </w:r>
          </w:p>
          <w:p>
            <w:pPr>
              <w:tabs>
                <w:tab w:val="left" w:pos="7740"/>
              </w:tabs>
              <w:snapToGrid w:val="0"/>
              <w:spacing w:line="288" w:lineRule="auto"/>
              <w:rPr>
                <w:rFonts w:ascii="宋体" w:hAnsi="宋体"/>
                <w:color w:val="auto"/>
                <w:sz w:val="24"/>
                <w:highlight w:val="none"/>
                <w:lang w:val="en-GB"/>
              </w:rPr>
            </w:pPr>
          </w:p>
          <w:p>
            <w:pPr>
              <w:tabs>
                <w:tab w:val="left" w:pos="7740"/>
              </w:tabs>
              <w:snapToGrid w:val="0"/>
              <w:spacing w:line="288" w:lineRule="auto"/>
              <w:rPr>
                <w:rFonts w:ascii="宋体" w:hAnsi="宋体"/>
                <w:color w:val="auto"/>
                <w:sz w:val="24"/>
                <w:highlight w:val="none"/>
                <w:lang w:val="en-GB"/>
              </w:rPr>
            </w:pPr>
            <w:r>
              <w:rPr>
                <w:rFonts w:hint="eastAsia" w:ascii="宋体" w:hAnsi="宋体"/>
                <w:color w:val="auto"/>
                <w:sz w:val="24"/>
                <w:highlight w:val="none"/>
                <w:lang w:val="en-GB"/>
              </w:rPr>
              <w:t>环保标志产品占总投标报价比重：%</w:t>
            </w:r>
          </w:p>
        </w:tc>
      </w:tr>
    </w:tbl>
    <w:p>
      <w:pPr>
        <w:tabs>
          <w:tab w:val="left" w:pos="7740"/>
        </w:tabs>
        <w:snapToGrid w:val="0"/>
        <w:spacing w:line="360" w:lineRule="auto"/>
        <w:rPr>
          <w:rFonts w:ascii="宋体" w:hAnsi="宋体"/>
          <w:bCs/>
          <w:color w:val="auto"/>
          <w:sz w:val="24"/>
          <w:highlight w:val="none"/>
          <w:lang w:val="en-GB"/>
        </w:rPr>
      </w:pPr>
      <w:r>
        <w:rPr>
          <w:rFonts w:hint="eastAsia" w:ascii="宋体" w:hAnsi="宋体"/>
          <w:bCs/>
          <w:color w:val="auto"/>
          <w:sz w:val="24"/>
          <w:highlight w:val="none"/>
          <w:lang w:val="en-GB"/>
        </w:rPr>
        <w:t>说明：</w:t>
      </w:r>
    </w:p>
    <w:p>
      <w:pPr>
        <w:numPr>
          <w:ilvl w:val="2"/>
          <w:numId w:val="103"/>
        </w:numPr>
        <w:tabs>
          <w:tab w:val="left" w:pos="7740"/>
        </w:tabs>
        <w:snapToGrid w:val="0"/>
        <w:spacing w:line="360" w:lineRule="auto"/>
        <w:rPr>
          <w:rFonts w:ascii="宋体" w:hAnsi="宋体"/>
          <w:bCs/>
          <w:color w:val="auto"/>
          <w:sz w:val="24"/>
          <w:highlight w:val="none"/>
        </w:rPr>
      </w:pPr>
      <w:r>
        <w:rPr>
          <w:rFonts w:hint="eastAsia" w:ascii="宋体" w:hAnsi="宋体"/>
          <w:bCs/>
          <w:color w:val="auto"/>
          <w:sz w:val="24"/>
          <w:highlight w:val="none"/>
        </w:rPr>
        <w:t>属于品目清单范围内的节能或环境标志产品，应当提供国家确定的认证机构出具的、处于有效期之内的节能产品或环境标志产品认证证书复印件，并加盖投标人公章。</w:t>
      </w:r>
    </w:p>
    <w:p>
      <w:pPr>
        <w:numPr>
          <w:ilvl w:val="2"/>
          <w:numId w:val="103"/>
        </w:numPr>
        <w:tabs>
          <w:tab w:val="left" w:pos="7740"/>
        </w:tabs>
        <w:snapToGrid w:val="0"/>
        <w:spacing w:line="360" w:lineRule="auto"/>
        <w:rPr>
          <w:rFonts w:ascii="宋体" w:hAnsi="宋体"/>
          <w:color w:val="auto"/>
          <w:sz w:val="24"/>
          <w:highlight w:val="none"/>
        </w:rPr>
      </w:pPr>
      <w:r>
        <w:rPr>
          <w:rFonts w:hint="eastAsia" w:ascii="宋体" w:hAnsi="宋体"/>
          <w:bCs/>
          <w:color w:val="auto"/>
          <w:sz w:val="24"/>
          <w:highlight w:val="none"/>
        </w:rPr>
        <w:t>未提供产品认证证书不予价格扣除。</w:t>
      </w:r>
    </w:p>
    <w:p>
      <w:pPr>
        <w:tabs>
          <w:tab w:val="left" w:pos="426"/>
        </w:tabs>
        <w:snapToGrid w:val="0"/>
        <w:spacing w:line="360" w:lineRule="auto"/>
        <w:rPr>
          <w:color w:val="auto"/>
          <w:sz w:val="24"/>
          <w:highlight w:val="none"/>
        </w:rPr>
      </w:pPr>
    </w:p>
    <w:p>
      <w:pPr>
        <w:spacing w:line="500" w:lineRule="exact"/>
        <w:rPr>
          <w:color w:val="auto"/>
          <w:spacing w:val="4"/>
          <w:sz w:val="24"/>
          <w:highlight w:val="none"/>
        </w:rPr>
      </w:pPr>
    </w:p>
    <w:p>
      <w:pPr>
        <w:spacing w:line="500" w:lineRule="exact"/>
        <w:rPr>
          <w:rFonts w:ascii="宋体" w:hAnsi="宋体"/>
          <w:color w:val="auto"/>
          <w:sz w:val="24"/>
          <w:highlight w:val="none"/>
          <w:u w:val="single"/>
        </w:rPr>
      </w:pPr>
      <w:r>
        <w:rPr>
          <w:rFonts w:hint="eastAsia"/>
          <w:color w:val="auto"/>
          <w:spacing w:val="4"/>
          <w:sz w:val="24"/>
          <w:highlight w:val="none"/>
        </w:rPr>
        <w:t>投标人名称（</w:t>
      </w:r>
      <w:r>
        <w:rPr>
          <w:rFonts w:hint="eastAsia" w:ascii="宋体" w:hAnsi="宋体"/>
          <w:color w:val="auto"/>
          <w:sz w:val="24"/>
          <w:highlight w:val="none"/>
        </w:rPr>
        <w:t>单位盖</w:t>
      </w:r>
      <w:r>
        <w:rPr>
          <w:rFonts w:hint="eastAsia"/>
          <w:color w:val="auto"/>
          <w:spacing w:val="4"/>
          <w:sz w:val="24"/>
          <w:highlight w:val="none"/>
        </w:rPr>
        <w:t>公章）：</w:t>
      </w:r>
    </w:p>
    <w:p>
      <w:pPr>
        <w:spacing w:line="520" w:lineRule="exact"/>
        <w:rPr>
          <w:color w:val="auto"/>
          <w:spacing w:val="4"/>
          <w:sz w:val="24"/>
          <w:highlight w:val="none"/>
        </w:rPr>
      </w:pPr>
      <w:r>
        <w:rPr>
          <w:rFonts w:hint="eastAsia"/>
          <w:color w:val="auto"/>
          <w:spacing w:val="4"/>
          <w:sz w:val="24"/>
          <w:highlight w:val="none"/>
        </w:rPr>
        <w:t>日期：</w:t>
      </w:r>
    </w:p>
    <w:p>
      <w:pPr>
        <w:widowControl/>
        <w:jc w:val="left"/>
        <w:rPr>
          <w:color w:val="auto"/>
          <w:spacing w:val="4"/>
          <w:sz w:val="24"/>
          <w:highlight w:val="none"/>
        </w:rPr>
      </w:pPr>
      <w:r>
        <w:rPr>
          <w:color w:val="auto"/>
          <w:spacing w:val="4"/>
          <w:sz w:val="24"/>
          <w:highlight w:val="none"/>
        </w:rPr>
        <w:br w:type="page"/>
      </w:r>
    </w:p>
    <w:p>
      <w:pPr>
        <w:tabs>
          <w:tab w:val="left" w:pos="426"/>
        </w:tabs>
        <w:autoSpaceDE w:val="0"/>
        <w:autoSpaceDN w:val="0"/>
        <w:spacing w:line="360" w:lineRule="auto"/>
        <w:jc w:val="center"/>
        <w:outlineLvl w:val="3"/>
        <w:rPr>
          <w:rFonts w:ascii="黑体" w:hAnsi="黑体" w:eastAsia="黑体"/>
          <w:color w:val="auto"/>
          <w:sz w:val="32"/>
          <w:szCs w:val="32"/>
          <w:highlight w:val="none"/>
        </w:rPr>
      </w:pPr>
      <w:r>
        <w:rPr>
          <w:rFonts w:hint="eastAsia" w:ascii="黑体" w:hAnsi="黑体" w:eastAsia="黑体"/>
          <w:color w:val="auto"/>
          <w:sz w:val="32"/>
          <w:szCs w:val="32"/>
          <w:highlight w:val="none"/>
        </w:rPr>
        <w:t>国家级贫困地区农副产品情况（如有）</w:t>
      </w:r>
    </w:p>
    <w:p>
      <w:pPr>
        <w:tabs>
          <w:tab w:val="left" w:pos="7740"/>
        </w:tabs>
        <w:snapToGrid w:val="0"/>
        <w:spacing w:line="360" w:lineRule="auto"/>
        <w:rPr>
          <w:rFonts w:ascii="宋体" w:hAnsi="宋体"/>
          <w:b/>
          <w:strike/>
          <w:color w:val="auto"/>
          <w:sz w:val="24"/>
          <w:highlight w:val="none"/>
          <w:shd w:val="pct10" w:color="auto" w:fill="FFFFFF"/>
        </w:rPr>
      </w:pPr>
    </w:p>
    <w:p>
      <w:pPr>
        <w:tabs>
          <w:tab w:val="left" w:pos="7740"/>
        </w:tabs>
        <w:snapToGrid w:val="0"/>
        <w:spacing w:line="360" w:lineRule="auto"/>
        <w:rPr>
          <w:rFonts w:ascii="宋体" w:hAnsi="宋体"/>
          <w:color w:val="auto"/>
          <w:sz w:val="24"/>
          <w:highlight w:val="none"/>
        </w:rPr>
      </w:pPr>
      <w:r>
        <w:rPr>
          <w:rFonts w:hint="eastAsia" w:ascii="宋体" w:hAnsi="宋体"/>
          <w:color w:val="auto"/>
          <w:sz w:val="24"/>
          <w:highlight w:val="none"/>
        </w:rPr>
        <w:t>项目名称：2020-2021年食品安全监督抽检项目</w:t>
      </w:r>
    </w:p>
    <w:p>
      <w:pPr>
        <w:tabs>
          <w:tab w:val="left" w:pos="7740"/>
        </w:tabs>
        <w:snapToGrid w:val="0"/>
        <w:spacing w:line="360" w:lineRule="auto"/>
        <w:rPr>
          <w:rFonts w:ascii="宋体" w:hAnsi="宋体"/>
          <w:color w:val="auto"/>
          <w:sz w:val="24"/>
          <w:highlight w:val="none"/>
        </w:rPr>
      </w:pPr>
      <w:r>
        <w:rPr>
          <w:rFonts w:hint="eastAsia" w:ascii="宋体" w:hAnsi="宋体"/>
          <w:color w:val="auto"/>
          <w:sz w:val="24"/>
          <w:highlight w:val="none"/>
        </w:rPr>
        <w:t>包组号：</w:t>
      </w:r>
    </w:p>
    <w:tbl>
      <w:tblPr>
        <w:tblStyle w:val="16"/>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28"/>
        <w:gridCol w:w="583"/>
        <w:gridCol w:w="692"/>
        <w:gridCol w:w="1017"/>
        <w:gridCol w:w="1263"/>
        <w:gridCol w:w="2001"/>
        <w:gridCol w:w="1330"/>
        <w:gridCol w:w="158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2" w:hRule="atLeast"/>
          <w:jc w:val="center"/>
        </w:trPr>
        <w:tc>
          <w:tcPr>
            <w:tcW w:w="494" w:type="pct"/>
            <w:vAlign w:val="center"/>
          </w:tcPr>
          <w:p>
            <w:pPr>
              <w:tabs>
                <w:tab w:val="left" w:pos="1260"/>
              </w:tabs>
              <w:ind w:left="-82" w:leftChars="-41" w:right="-68" w:rightChars="-34"/>
              <w:jc w:val="center"/>
              <w:rPr>
                <w:rFonts w:ascii="宋体" w:hAnsi="宋体"/>
                <w:b/>
                <w:color w:val="auto"/>
                <w:sz w:val="24"/>
                <w:highlight w:val="none"/>
                <w:lang w:val="en-GB"/>
              </w:rPr>
            </w:pPr>
            <w:bookmarkStart w:id="68" w:name="_Hlk25074279"/>
            <w:r>
              <w:rPr>
                <w:rFonts w:hint="eastAsia" w:ascii="宋体" w:hAnsi="宋体"/>
                <w:b/>
                <w:color w:val="auto"/>
                <w:sz w:val="24"/>
                <w:highlight w:val="none"/>
                <w:lang w:val="en-GB"/>
              </w:rPr>
              <w:t>类别</w:t>
            </w:r>
          </w:p>
        </w:tc>
        <w:tc>
          <w:tcPr>
            <w:tcW w:w="310" w:type="pct"/>
            <w:vAlign w:val="center"/>
          </w:tcPr>
          <w:p>
            <w:pPr>
              <w:tabs>
                <w:tab w:val="left" w:pos="1260"/>
              </w:tabs>
              <w:ind w:left="-82" w:leftChars="-41" w:right="-68" w:rightChars="-34"/>
              <w:jc w:val="center"/>
              <w:rPr>
                <w:rFonts w:ascii="宋体" w:hAnsi="宋体"/>
                <w:b/>
                <w:color w:val="auto"/>
                <w:sz w:val="24"/>
                <w:highlight w:val="none"/>
                <w:lang w:val="en-GB"/>
              </w:rPr>
            </w:pPr>
            <w:r>
              <w:rPr>
                <w:rFonts w:hint="eastAsia" w:ascii="宋体" w:hAnsi="宋体"/>
                <w:b/>
                <w:color w:val="auto"/>
                <w:sz w:val="24"/>
                <w:highlight w:val="none"/>
                <w:lang w:val="en-GB"/>
              </w:rPr>
              <w:t>省</w:t>
            </w:r>
          </w:p>
        </w:tc>
        <w:tc>
          <w:tcPr>
            <w:tcW w:w="368" w:type="pct"/>
            <w:vAlign w:val="center"/>
          </w:tcPr>
          <w:p>
            <w:pPr>
              <w:tabs>
                <w:tab w:val="left" w:pos="1260"/>
              </w:tabs>
              <w:ind w:left="-82" w:leftChars="-41" w:right="-68" w:rightChars="-34"/>
              <w:jc w:val="center"/>
              <w:rPr>
                <w:rFonts w:ascii="宋体" w:hAnsi="宋体"/>
                <w:b/>
                <w:color w:val="auto"/>
                <w:sz w:val="24"/>
                <w:highlight w:val="none"/>
                <w:lang w:val="en-GB"/>
              </w:rPr>
            </w:pPr>
            <w:r>
              <w:rPr>
                <w:rFonts w:hint="eastAsia" w:ascii="宋体" w:hAnsi="宋体"/>
                <w:b/>
                <w:color w:val="auto"/>
                <w:sz w:val="24"/>
                <w:highlight w:val="none"/>
                <w:lang w:val="en-GB"/>
              </w:rPr>
              <w:t>市</w:t>
            </w:r>
          </w:p>
        </w:tc>
        <w:tc>
          <w:tcPr>
            <w:tcW w:w="541" w:type="pct"/>
            <w:vAlign w:val="center"/>
          </w:tcPr>
          <w:p>
            <w:pPr>
              <w:tabs>
                <w:tab w:val="left" w:pos="1260"/>
              </w:tabs>
              <w:ind w:left="-82" w:leftChars="-41" w:right="-68" w:rightChars="-34"/>
              <w:jc w:val="center"/>
              <w:rPr>
                <w:rFonts w:ascii="宋体" w:hAnsi="宋体"/>
                <w:b/>
                <w:color w:val="auto"/>
                <w:sz w:val="24"/>
                <w:highlight w:val="none"/>
                <w:lang w:val="en-GB"/>
              </w:rPr>
            </w:pPr>
            <w:r>
              <w:rPr>
                <w:rFonts w:hint="eastAsia" w:ascii="宋体" w:hAnsi="宋体"/>
                <w:b/>
                <w:color w:val="auto"/>
                <w:sz w:val="24"/>
                <w:highlight w:val="none"/>
                <w:lang w:val="en-GB"/>
              </w:rPr>
              <w:t>县</w:t>
            </w:r>
          </w:p>
        </w:tc>
        <w:tc>
          <w:tcPr>
            <w:tcW w:w="672" w:type="pct"/>
            <w:vAlign w:val="center"/>
          </w:tcPr>
          <w:p>
            <w:pPr>
              <w:tabs>
                <w:tab w:val="left" w:pos="1260"/>
              </w:tabs>
              <w:ind w:left="-82" w:leftChars="-41" w:right="-68" w:rightChars="-34"/>
              <w:jc w:val="center"/>
              <w:rPr>
                <w:rFonts w:ascii="宋体" w:hAnsi="宋体"/>
                <w:b/>
                <w:color w:val="auto"/>
                <w:sz w:val="24"/>
                <w:highlight w:val="none"/>
                <w:lang w:val="en-GB"/>
              </w:rPr>
            </w:pPr>
            <w:r>
              <w:rPr>
                <w:rFonts w:hint="eastAsia" w:ascii="宋体" w:hAnsi="宋体"/>
                <w:b/>
                <w:color w:val="auto"/>
                <w:sz w:val="24"/>
                <w:highlight w:val="none"/>
                <w:lang w:val="en-GB"/>
              </w:rPr>
              <w:t>供应商名称</w:t>
            </w:r>
          </w:p>
        </w:tc>
        <w:tc>
          <w:tcPr>
            <w:tcW w:w="1065" w:type="pct"/>
            <w:vAlign w:val="center"/>
          </w:tcPr>
          <w:p>
            <w:pPr>
              <w:tabs>
                <w:tab w:val="left" w:pos="1260"/>
              </w:tabs>
              <w:ind w:left="-82" w:leftChars="-41" w:right="-68" w:rightChars="-34"/>
              <w:jc w:val="center"/>
              <w:rPr>
                <w:rFonts w:ascii="宋体" w:hAnsi="宋体"/>
                <w:b/>
                <w:color w:val="auto"/>
                <w:sz w:val="24"/>
                <w:highlight w:val="none"/>
                <w:lang w:val="en-GB"/>
              </w:rPr>
            </w:pPr>
            <w:r>
              <w:rPr>
                <w:rFonts w:hint="eastAsia" w:ascii="宋体" w:hAnsi="宋体"/>
                <w:b/>
                <w:color w:val="auto"/>
                <w:sz w:val="24"/>
                <w:highlight w:val="none"/>
                <w:lang w:val="en-GB"/>
              </w:rPr>
              <w:t>产品品类</w:t>
            </w:r>
          </w:p>
        </w:tc>
        <w:tc>
          <w:tcPr>
            <w:tcW w:w="708" w:type="pct"/>
            <w:vAlign w:val="center"/>
          </w:tcPr>
          <w:p>
            <w:pPr>
              <w:tabs>
                <w:tab w:val="left" w:pos="1260"/>
              </w:tabs>
              <w:ind w:left="-82" w:leftChars="-41" w:right="-68" w:rightChars="-34"/>
              <w:jc w:val="center"/>
              <w:rPr>
                <w:rFonts w:ascii="宋体" w:hAnsi="宋体"/>
                <w:b/>
                <w:color w:val="auto"/>
                <w:sz w:val="24"/>
                <w:highlight w:val="none"/>
                <w:lang w:val="en-GB"/>
              </w:rPr>
            </w:pPr>
            <w:r>
              <w:rPr>
                <w:rFonts w:hint="eastAsia" w:ascii="宋体" w:hAnsi="宋体"/>
                <w:b/>
                <w:color w:val="auto"/>
                <w:sz w:val="24"/>
                <w:highlight w:val="none"/>
                <w:lang w:val="en-GB"/>
              </w:rPr>
              <w:t>产品名称</w:t>
            </w:r>
          </w:p>
        </w:tc>
        <w:tc>
          <w:tcPr>
            <w:tcW w:w="842" w:type="pct"/>
            <w:vAlign w:val="center"/>
          </w:tcPr>
          <w:p>
            <w:pPr>
              <w:tabs>
                <w:tab w:val="left" w:pos="1260"/>
              </w:tabs>
              <w:ind w:left="-82" w:leftChars="-41" w:right="-68" w:rightChars="-34"/>
              <w:jc w:val="center"/>
              <w:rPr>
                <w:rFonts w:ascii="宋体" w:hAnsi="宋体"/>
                <w:b/>
                <w:color w:val="auto"/>
                <w:sz w:val="24"/>
                <w:highlight w:val="none"/>
                <w:lang w:val="en-GB"/>
              </w:rPr>
            </w:pPr>
            <w:r>
              <w:rPr>
                <w:rFonts w:hint="eastAsia" w:ascii="宋体" w:hAnsi="宋体"/>
                <w:b/>
                <w:color w:val="auto"/>
                <w:sz w:val="24"/>
                <w:highlight w:val="none"/>
                <w:lang w:val="en-GB"/>
              </w:rPr>
              <w:t>所投农副产品金额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494" w:type="pct"/>
            <w:vMerge w:val="restart"/>
            <w:vAlign w:val="center"/>
          </w:tcPr>
          <w:p>
            <w:pPr>
              <w:tabs>
                <w:tab w:val="left" w:pos="1260"/>
              </w:tabs>
              <w:ind w:left="-82" w:leftChars="-41" w:right="-68" w:rightChars="-34"/>
              <w:jc w:val="center"/>
              <w:rPr>
                <w:rFonts w:ascii="宋体" w:hAnsi="宋体"/>
                <w:b/>
                <w:color w:val="auto"/>
                <w:sz w:val="24"/>
                <w:highlight w:val="none"/>
                <w:lang w:val="en-GB"/>
              </w:rPr>
            </w:pPr>
            <w:r>
              <w:rPr>
                <w:rFonts w:hint="eastAsia" w:ascii="宋体" w:hAnsi="宋体"/>
                <w:b/>
                <w:color w:val="auto"/>
                <w:sz w:val="24"/>
                <w:highlight w:val="none"/>
                <w:lang w:val="en-GB"/>
              </w:rPr>
              <w:t>农副</w:t>
            </w:r>
          </w:p>
          <w:p>
            <w:pPr>
              <w:tabs>
                <w:tab w:val="left" w:pos="1260"/>
              </w:tabs>
              <w:ind w:left="-82" w:leftChars="-41" w:right="-68" w:rightChars="-34"/>
              <w:jc w:val="center"/>
              <w:rPr>
                <w:rFonts w:ascii="宋体" w:hAnsi="宋体"/>
                <w:b/>
                <w:color w:val="auto"/>
                <w:sz w:val="24"/>
                <w:highlight w:val="none"/>
                <w:lang w:val="en-GB"/>
              </w:rPr>
            </w:pPr>
            <w:r>
              <w:rPr>
                <w:rFonts w:hint="eastAsia" w:ascii="宋体" w:hAnsi="宋体"/>
                <w:b/>
                <w:color w:val="auto"/>
                <w:sz w:val="24"/>
                <w:highlight w:val="none"/>
                <w:lang w:val="en-GB"/>
              </w:rPr>
              <w:t>产品</w:t>
            </w:r>
          </w:p>
        </w:tc>
        <w:tc>
          <w:tcPr>
            <w:tcW w:w="310" w:type="pct"/>
            <w:vAlign w:val="center"/>
          </w:tcPr>
          <w:p>
            <w:pPr>
              <w:tabs>
                <w:tab w:val="left" w:pos="1260"/>
              </w:tabs>
              <w:jc w:val="center"/>
              <w:rPr>
                <w:rFonts w:ascii="宋体" w:hAnsi="宋体"/>
                <w:color w:val="auto"/>
                <w:sz w:val="24"/>
                <w:highlight w:val="none"/>
                <w:lang w:val="en-GB"/>
              </w:rPr>
            </w:pPr>
          </w:p>
        </w:tc>
        <w:tc>
          <w:tcPr>
            <w:tcW w:w="368" w:type="pct"/>
            <w:vAlign w:val="center"/>
          </w:tcPr>
          <w:p>
            <w:pPr>
              <w:tabs>
                <w:tab w:val="left" w:pos="1260"/>
              </w:tabs>
              <w:jc w:val="center"/>
              <w:rPr>
                <w:rFonts w:ascii="宋体" w:hAnsi="宋体"/>
                <w:color w:val="auto"/>
                <w:sz w:val="24"/>
                <w:highlight w:val="none"/>
                <w:lang w:val="en-GB"/>
              </w:rPr>
            </w:pPr>
          </w:p>
        </w:tc>
        <w:tc>
          <w:tcPr>
            <w:tcW w:w="541" w:type="pct"/>
            <w:vAlign w:val="center"/>
          </w:tcPr>
          <w:p>
            <w:pPr>
              <w:tabs>
                <w:tab w:val="left" w:pos="1260"/>
              </w:tabs>
              <w:jc w:val="center"/>
              <w:rPr>
                <w:rFonts w:ascii="宋体" w:hAnsi="宋体"/>
                <w:color w:val="auto"/>
                <w:sz w:val="24"/>
                <w:highlight w:val="none"/>
                <w:lang w:val="en-GB"/>
              </w:rPr>
            </w:pPr>
          </w:p>
        </w:tc>
        <w:tc>
          <w:tcPr>
            <w:tcW w:w="672" w:type="pct"/>
            <w:vAlign w:val="center"/>
          </w:tcPr>
          <w:p>
            <w:pPr>
              <w:tabs>
                <w:tab w:val="left" w:pos="1260"/>
              </w:tabs>
              <w:jc w:val="center"/>
              <w:rPr>
                <w:rFonts w:ascii="宋体" w:hAnsi="宋体"/>
                <w:color w:val="auto"/>
                <w:sz w:val="24"/>
                <w:highlight w:val="none"/>
                <w:lang w:val="en-GB"/>
              </w:rPr>
            </w:pPr>
          </w:p>
        </w:tc>
        <w:tc>
          <w:tcPr>
            <w:tcW w:w="1065" w:type="pct"/>
            <w:vAlign w:val="center"/>
          </w:tcPr>
          <w:p>
            <w:pPr>
              <w:tabs>
                <w:tab w:val="left" w:pos="1260"/>
              </w:tabs>
              <w:jc w:val="center"/>
              <w:rPr>
                <w:rFonts w:ascii="宋体" w:hAnsi="宋体"/>
                <w:color w:val="auto"/>
                <w:sz w:val="24"/>
                <w:highlight w:val="none"/>
                <w:lang w:val="en-GB"/>
              </w:rPr>
            </w:pPr>
          </w:p>
        </w:tc>
        <w:tc>
          <w:tcPr>
            <w:tcW w:w="708" w:type="pct"/>
            <w:vAlign w:val="center"/>
          </w:tcPr>
          <w:p>
            <w:pPr>
              <w:tabs>
                <w:tab w:val="left" w:pos="1260"/>
              </w:tabs>
              <w:jc w:val="center"/>
              <w:rPr>
                <w:rFonts w:ascii="宋体" w:hAnsi="宋体"/>
                <w:color w:val="auto"/>
                <w:sz w:val="24"/>
                <w:highlight w:val="none"/>
                <w:lang w:val="en-GB"/>
              </w:rPr>
            </w:pPr>
          </w:p>
        </w:tc>
        <w:tc>
          <w:tcPr>
            <w:tcW w:w="842" w:type="pct"/>
            <w:vAlign w:val="center"/>
          </w:tcPr>
          <w:p>
            <w:pPr>
              <w:tabs>
                <w:tab w:val="left" w:pos="1260"/>
              </w:tabs>
              <w:jc w:val="center"/>
              <w:rPr>
                <w:rFonts w:ascii="宋体" w:hAnsi="宋体"/>
                <w:color w:val="auto"/>
                <w:sz w:val="24"/>
                <w:highlight w:val="none"/>
                <w:lang w:val="en-G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494" w:type="pct"/>
            <w:vMerge w:val="continue"/>
            <w:vAlign w:val="center"/>
          </w:tcPr>
          <w:p>
            <w:pPr>
              <w:tabs>
                <w:tab w:val="left" w:pos="1260"/>
              </w:tabs>
              <w:jc w:val="center"/>
              <w:rPr>
                <w:rFonts w:ascii="宋体" w:hAnsi="宋体"/>
                <w:b/>
                <w:color w:val="auto"/>
                <w:sz w:val="24"/>
                <w:highlight w:val="none"/>
                <w:lang w:val="en-GB"/>
              </w:rPr>
            </w:pPr>
          </w:p>
        </w:tc>
        <w:tc>
          <w:tcPr>
            <w:tcW w:w="310" w:type="pct"/>
            <w:vAlign w:val="center"/>
          </w:tcPr>
          <w:p>
            <w:pPr>
              <w:tabs>
                <w:tab w:val="left" w:pos="1260"/>
              </w:tabs>
              <w:jc w:val="center"/>
              <w:rPr>
                <w:rFonts w:ascii="宋体" w:hAnsi="宋体"/>
                <w:color w:val="auto"/>
                <w:sz w:val="24"/>
                <w:highlight w:val="none"/>
                <w:lang w:val="en-GB"/>
              </w:rPr>
            </w:pPr>
          </w:p>
        </w:tc>
        <w:tc>
          <w:tcPr>
            <w:tcW w:w="368" w:type="pct"/>
            <w:vAlign w:val="center"/>
          </w:tcPr>
          <w:p>
            <w:pPr>
              <w:tabs>
                <w:tab w:val="left" w:pos="1260"/>
              </w:tabs>
              <w:jc w:val="center"/>
              <w:rPr>
                <w:rFonts w:ascii="宋体" w:hAnsi="宋体"/>
                <w:color w:val="auto"/>
                <w:sz w:val="24"/>
                <w:highlight w:val="none"/>
                <w:lang w:val="en-GB"/>
              </w:rPr>
            </w:pPr>
          </w:p>
        </w:tc>
        <w:tc>
          <w:tcPr>
            <w:tcW w:w="541" w:type="pct"/>
            <w:vAlign w:val="center"/>
          </w:tcPr>
          <w:p>
            <w:pPr>
              <w:tabs>
                <w:tab w:val="left" w:pos="1260"/>
              </w:tabs>
              <w:jc w:val="center"/>
              <w:rPr>
                <w:rFonts w:ascii="宋体" w:hAnsi="宋体"/>
                <w:color w:val="auto"/>
                <w:sz w:val="24"/>
                <w:highlight w:val="none"/>
                <w:lang w:val="en-GB"/>
              </w:rPr>
            </w:pPr>
          </w:p>
        </w:tc>
        <w:tc>
          <w:tcPr>
            <w:tcW w:w="672" w:type="pct"/>
            <w:vAlign w:val="center"/>
          </w:tcPr>
          <w:p>
            <w:pPr>
              <w:tabs>
                <w:tab w:val="left" w:pos="1260"/>
              </w:tabs>
              <w:jc w:val="center"/>
              <w:rPr>
                <w:rFonts w:ascii="宋体" w:hAnsi="宋体"/>
                <w:color w:val="auto"/>
                <w:sz w:val="24"/>
                <w:highlight w:val="none"/>
                <w:lang w:val="en-GB"/>
              </w:rPr>
            </w:pPr>
          </w:p>
        </w:tc>
        <w:tc>
          <w:tcPr>
            <w:tcW w:w="1065" w:type="pct"/>
            <w:vAlign w:val="center"/>
          </w:tcPr>
          <w:p>
            <w:pPr>
              <w:tabs>
                <w:tab w:val="left" w:pos="1260"/>
              </w:tabs>
              <w:jc w:val="center"/>
              <w:rPr>
                <w:rFonts w:ascii="宋体" w:hAnsi="宋体"/>
                <w:color w:val="auto"/>
                <w:sz w:val="24"/>
                <w:highlight w:val="none"/>
                <w:lang w:val="en-GB"/>
              </w:rPr>
            </w:pPr>
          </w:p>
        </w:tc>
        <w:tc>
          <w:tcPr>
            <w:tcW w:w="708" w:type="pct"/>
            <w:vAlign w:val="center"/>
          </w:tcPr>
          <w:p>
            <w:pPr>
              <w:tabs>
                <w:tab w:val="left" w:pos="1260"/>
              </w:tabs>
              <w:jc w:val="center"/>
              <w:rPr>
                <w:rFonts w:ascii="宋体" w:hAnsi="宋体"/>
                <w:color w:val="auto"/>
                <w:sz w:val="24"/>
                <w:highlight w:val="none"/>
                <w:lang w:val="en-GB"/>
              </w:rPr>
            </w:pPr>
          </w:p>
        </w:tc>
        <w:tc>
          <w:tcPr>
            <w:tcW w:w="842" w:type="pct"/>
            <w:vAlign w:val="center"/>
          </w:tcPr>
          <w:p>
            <w:pPr>
              <w:tabs>
                <w:tab w:val="left" w:pos="1260"/>
              </w:tabs>
              <w:jc w:val="center"/>
              <w:rPr>
                <w:rFonts w:ascii="宋体" w:hAnsi="宋体"/>
                <w:color w:val="auto"/>
                <w:sz w:val="24"/>
                <w:highlight w:val="none"/>
                <w:lang w:val="en-G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2" w:hRule="atLeast"/>
          <w:jc w:val="center"/>
        </w:trPr>
        <w:tc>
          <w:tcPr>
            <w:tcW w:w="494" w:type="pct"/>
            <w:vMerge w:val="continue"/>
            <w:vAlign w:val="center"/>
          </w:tcPr>
          <w:p>
            <w:pPr>
              <w:tabs>
                <w:tab w:val="left" w:pos="1260"/>
              </w:tabs>
              <w:jc w:val="center"/>
              <w:rPr>
                <w:rFonts w:ascii="宋体" w:hAnsi="宋体"/>
                <w:b/>
                <w:color w:val="auto"/>
                <w:sz w:val="24"/>
                <w:highlight w:val="none"/>
                <w:lang w:val="en-GB"/>
              </w:rPr>
            </w:pPr>
          </w:p>
        </w:tc>
        <w:tc>
          <w:tcPr>
            <w:tcW w:w="4506" w:type="pct"/>
            <w:gridSpan w:val="7"/>
            <w:vAlign w:val="center"/>
          </w:tcPr>
          <w:p>
            <w:pPr>
              <w:tabs>
                <w:tab w:val="left" w:pos="1260"/>
              </w:tabs>
              <w:jc w:val="left"/>
              <w:rPr>
                <w:rFonts w:ascii="宋体" w:hAnsi="宋体"/>
                <w:b/>
                <w:bCs/>
                <w:color w:val="auto"/>
                <w:sz w:val="24"/>
                <w:highlight w:val="none"/>
                <w:u w:val="single"/>
                <w:lang w:val="en-GB"/>
              </w:rPr>
            </w:pPr>
            <w:r>
              <w:rPr>
                <w:rFonts w:hint="eastAsia" w:ascii="宋体" w:hAnsi="宋体"/>
                <w:b/>
                <w:color w:val="auto"/>
                <w:sz w:val="24"/>
                <w:highlight w:val="none"/>
                <w:lang w:val="en-GB"/>
              </w:rPr>
              <w:t>农副产品</w:t>
            </w:r>
            <w:r>
              <w:rPr>
                <w:rFonts w:hint="eastAsia" w:ascii="宋体" w:hAnsi="宋体"/>
                <w:b/>
                <w:bCs/>
                <w:color w:val="auto"/>
                <w:sz w:val="24"/>
                <w:highlight w:val="none"/>
                <w:lang w:val="en-GB"/>
              </w:rPr>
              <w:t xml:space="preserve">总金额： </w:t>
            </w:r>
          </w:p>
          <w:p>
            <w:pPr>
              <w:tabs>
                <w:tab w:val="left" w:pos="1260"/>
              </w:tabs>
              <w:jc w:val="left"/>
              <w:rPr>
                <w:rFonts w:ascii="宋体" w:hAnsi="宋体"/>
                <w:b/>
                <w:bCs/>
                <w:color w:val="auto"/>
                <w:sz w:val="24"/>
                <w:highlight w:val="none"/>
                <w:lang w:val="en-GB"/>
              </w:rPr>
            </w:pPr>
          </w:p>
          <w:p>
            <w:pPr>
              <w:tabs>
                <w:tab w:val="left" w:pos="1260"/>
              </w:tabs>
              <w:jc w:val="left"/>
              <w:rPr>
                <w:rFonts w:ascii="宋体" w:hAnsi="宋体"/>
                <w:color w:val="auto"/>
                <w:sz w:val="24"/>
                <w:highlight w:val="none"/>
                <w:lang w:val="en-GB"/>
              </w:rPr>
            </w:pPr>
            <w:r>
              <w:rPr>
                <w:rFonts w:hint="eastAsia" w:ascii="宋体" w:hAnsi="宋体"/>
                <w:b/>
                <w:color w:val="auto"/>
                <w:sz w:val="24"/>
                <w:highlight w:val="none"/>
                <w:lang w:val="en-GB"/>
              </w:rPr>
              <w:t>农副产品金额占总投标报价比重：%</w:t>
            </w:r>
          </w:p>
        </w:tc>
      </w:tr>
      <w:bookmarkEnd w:id="68"/>
    </w:tbl>
    <w:p>
      <w:pPr>
        <w:autoSpaceDE w:val="0"/>
        <w:autoSpaceDN w:val="0"/>
        <w:jc w:val="left"/>
        <w:rPr>
          <w:rFonts w:ascii="宋体" w:hAnsi="宋体"/>
          <w:color w:val="auto"/>
          <w:sz w:val="24"/>
          <w:highlight w:val="none"/>
          <w:lang w:val="en-GB"/>
        </w:rPr>
      </w:pPr>
    </w:p>
    <w:p>
      <w:pPr>
        <w:snapToGrid w:val="0"/>
        <w:spacing w:line="360" w:lineRule="auto"/>
        <w:rPr>
          <w:rFonts w:asciiTheme="minorEastAsia" w:hAnsiTheme="minorEastAsia"/>
          <w:color w:val="auto"/>
          <w:sz w:val="24"/>
          <w:highlight w:val="none"/>
        </w:rPr>
      </w:pPr>
      <w:r>
        <w:rPr>
          <w:rFonts w:hint="eastAsia" w:ascii="宋体" w:hAnsi="宋体"/>
          <w:bCs/>
          <w:color w:val="auto"/>
          <w:sz w:val="24"/>
          <w:highlight w:val="none"/>
          <w:lang w:val="en-GB"/>
        </w:rPr>
        <w:t>说明：</w:t>
      </w:r>
      <w:r>
        <w:rPr>
          <w:rFonts w:hint="eastAsia" w:asciiTheme="minorEastAsia" w:hAnsiTheme="minorEastAsia"/>
          <w:color w:val="auto"/>
          <w:sz w:val="24"/>
          <w:highlight w:val="none"/>
        </w:rPr>
        <w:t>提供供应商属于《国家级贫困县重点扶贫产品供应商名录》的证明材料，并加盖供应商单位公章。如所提供产品属于《国家级贫困县重点扶贫产品供应商名录》中供应商的产品，应同时提供合作协议（或授权函）和该供应商属于《国家级贫困县重点扶贫产品供应商名录》的证明材料并加盖投标人单位公章。</w:t>
      </w:r>
    </w:p>
    <w:p>
      <w:pPr>
        <w:snapToGrid w:val="0"/>
        <w:spacing w:line="360" w:lineRule="auto"/>
        <w:rPr>
          <w:rFonts w:asciiTheme="minorEastAsia" w:hAnsiTheme="minorEastAsia"/>
          <w:color w:val="auto"/>
          <w:sz w:val="24"/>
          <w:highlight w:val="none"/>
        </w:rPr>
      </w:pPr>
    </w:p>
    <w:p>
      <w:pPr>
        <w:spacing w:line="500" w:lineRule="exact"/>
        <w:rPr>
          <w:rFonts w:ascii="宋体" w:hAnsi="宋体"/>
          <w:color w:val="auto"/>
          <w:sz w:val="24"/>
          <w:highlight w:val="none"/>
          <w:u w:val="single"/>
        </w:rPr>
      </w:pPr>
      <w:r>
        <w:rPr>
          <w:rFonts w:hint="eastAsia"/>
          <w:color w:val="auto"/>
          <w:spacing w:val="4"/>
          <w:sz w:val="24"/>
          <w:highlight w:val="none"/>
        </w:rPr>
        <w:t>投标人名称（</w:t>
      </w:r>
      <w:r>
        <w:rPr>
          <w:rFonts w:hint="eastAsia" w:ascii="宋体" w:hAnsi="宋体"/>
          <w:color w:val="auto"/>
          <w:sz w:val="24"/>
          <w:highlight w:val="none"/>
        </w:rPr>
        <w:t>单位盖</w:t>
      </w:r>
      <w:r>
        <w:rPr>
          <w:rFonts w:hint="eastAsia"/>
          <w:color w:val="auto"/>
          <w:spacing w:val="4"/>
          <w:sz w:val="24"/>
          <w:highlight w:val="none"/>
        </w:rPr>
        <w:t>公章）：</w:t>
      </w:r>
    </w:p>
    <w:p>
      <w:pPr>
        <w:spacing w:line="520" w:lineRule="exact"/>
        <w:rPr>
          <w:rFonts w:ascii="宋体" w:hAnsi="宋体"/>
          <w:color w:val="auto"/>
          <w:sz w:val="24"/>
          <w:highlight w:val="none"/>
        </w:rPr>
      </w:pPr>
      <w:r>
        <w:rPr>
          <w:rFonts w:hint="eastAsia"/>
          <w:color w:val="auto"/>
          <w:spacing w:val="4"/>
          <w:sz w:val="24"/>
          <w:highlight w:val="none"/>
        </w:rPr>
        <w:t>日期：</w:t>
      </w:r>
    </w:p>
    <w:p>
      <w:pPr>
        <w:widowControl/>
        <w:jc w:val="left"/>
        <w:rPr>
          <w:color w:val="auto"/>
          <w:spacing w:val="4"/>
          <w:sz w:val="24"/>
          <w:highlight w:val="none"/>
        </w:rPr>
      </w:pPr>
      <w:r>
        <w:rPr>
          <w:color w:val="auto"/>
          <w:spacing w:val="4"/>
          <w:sz w:val="24"/>
          <w:highlight w:val="none"/>
        </w:rPr>
        <w:br w:type="page"/>
      </w:r>
    </w:p>
    <w:p>
      <w:pPr>
        <w:tabs>
          <w:tab w:val="left" w:pos="426"/>
        </w:tabs>
        <w:autoSpaceDE w:val="0"/>
        <w:autoSpaceDN w:val="0"/>
        <w:snapToGrid w:val="0"/>
        <w:spacing w:afterLines="50" w:line="360" w:lineRule="auto"/>
        <w:jc w:val="center"/>
        <w:outlineLvl w:val="3"/>
        <w:rPr>
          <w:rFonts w:ascii="黑体" w:hAnsi="黑体" w:eastAsia="黑体"/>
          <w:color w:val="auto"/>
          <w:sz w:val="32"/>
          <w:szCs w:val="32"/>
          <w:highlight w:val="none"/>
        </w:rPr>
      </w:pPr>
      <w:r>
        <w:rPr>
          <w:rFonts w:hint="eastAsia" w:ascii="黑体" w:hAnsi="黑体" w:eastAsia="黑体"/>
          <w:color w:val="auto"/>
          <w:sz w:val="32"/>
          <w:szCs w:val="32"/>
          <w:highlight w:val="none"/>
        </w:rPr>
        <w:t>国家级贫困地区物业服务情况（如有）</w:t>
      </w:r>
    </w:p>
    <w:p>
      <w:pPr>
        <w:tabs>
          <w:tab w:val="left" w:pos="7740"/>
        </w:tabs>
        <w:snapToGrid w:val="0"/>
        <w:spacing w:line="360" w:lineRule="auto"/>
        <w:rPr>
          <w:rFonts w:hint="eastAsia" w:ascii="宋体" w:hAnsi="宋体"/>
          <w:color w:val="auto"/>
          <w:sz w:val="24"/>
          <w:highlight w:val="none"/>
        </w:rPr>
      </w:pPr>
      <w:r>
        <w:rPr>
          <w:rFonts w:hint="eastAsia" w:ascii="宋体" w:hAnsi="宋体"/>
          <w:color w:val="auto"/>
          <w:sz w:val="24"/>
          <w:highlight w:val="none"/>
        </w:rPr>
        <w:t>项目名称：2020-2021年食品安全监督抽检项目</w:t>
      </w:r>
    </w:p>
    <w:p>
      <w:pPr>
        <w:tabs>
          <w:tab w:val="left" w:pos="7740"/>
        </w:tabs>
        <w:snapToGrid w:val="0"/>
        <w:spacing w:line="360" w:lineRule="auto"/>
        <w:rPr>
          <w:rFonts w:hint="eastAsia" w:ascii="宋体" w:hAnsi="宋体" w:eastAsia="宋体"/>
          <w:color w:val="auto"/>
          <w:sz w:val="24"/>
          <w:highlight w:val="none"/>
          <w:lang w:eastAsia="zh-CN"/>
        </w:rPr>
      </w:pPr>
      <w:r>
        <w:rPr>
          <w:rFonts w:hint="eastAsia" w:ascii="宋体" w:hAnsi="宋体"/>
          <w:color w:val="auto"/>
          <w:sz w:val="24"/>
          <w:highlight w:val="none"/>
          <w:lang w:eastAsia="zh-CN"/>
        </w:rPr>
        <w:t>包组号：</w:t>
      </w:r>
    </w:p>
    <w:tbl>
      <w:tblPr>
        <w:tblStyle w:val="16"/>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31"/>
        <w:gridCol w:w="641"/>
        <w:gridCol w:w="620"/>
        <w:gridCol w:w="782"/>
        <w:gridCol w:w="994"/>
        <w:gridCol w:w="1524"/>
        <w:gridCol w:w="2623"/>
        <w:gridCol w:w="138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442" w:type="pct"/>
            <w:vAlign w:val="center"/>
          </w:tcPr>
          <w:p>
            <w:pPr>
              <w:tabs>
                <w:tab w:val="left" w:pos="1260"/>
              </w:tabs>
              <w:ind w:left="-82" w:leftChars="-41" w:right="-68" w:rightChars="-34"/>
              <w:jc w:val="center"/>
              <w:rPr>
                <w:rFonts w:ascii="宋体" w:hAnsi="宋体"/>
                <w:b/>
                <w:color w:val="auto"/>
                <w:sz w:val="24"/>
                <w:highlight w:val="none"/>
                <w:lang w:val="en-GB"/>
              </w:rPr>
            </w:pPr>
            <w:r>
              <w:rPr>
                <w:rFonts w:hint="eastAsia" w:ascii="宋体" w:hAnsi="宋体"/>
                <w:b/>
                <w:color w:val="auto"/>
                <w:sz w:val="24"/>
                <w:highlight w:val="none"/>
                <w:lang w:val="en-GB"/>
              </w:rPr>
              <w:t>物业公司名称</w:t>
            </w:r>
          </w:p>
        </w:tc>
        <w:tc>
          <w:tcPr>
            <w:tcW w:w="341" w:type="pct"/>
            <w:vAlign w:val="center"/>
          </w:tcPr>
          <w:p>
            <w:pPr>
              <w:tabs>
                <w:tab w:val="left" w:pos="1260"/>
              </w:tabs>
              <w:ind w:left="-82" w:leftChars="-41" w:right="-68" w:rightChars="-34"/>
              <w:jc w:val="center"/>
              <w:rPr>
                <w:rFonts w:ascii="宋体" w:hAnsi="宋体"/>
                <w:b/>
                <w:color w:val="auto"/>
                <w:sz w:val="24"/>
                <w:highlight w:val="none"/>
                <w:lang w:val="en-GB"/>
              </w:rPr>
            </w:pPr>
            <w:r>
              <w:rPr>
                <w:rFonts w:hint="eastAsia" w:ascii="宋体" w:hAnsi="宋体"/>
                <w:b/>
                <w:color w:val="auto"/>
                <w:sz w:val="24"/>
                <w:highlight w:val="none"/>
                <w:lang w:val="en-GB"/>
              </w:rPr>
              <w:t>省</w:t>
            </w:r>
          </w:p>
        </w:tc>
        <w:tc>
          <w:tcPr>
            <w:tcW w:w="330" w:type="pct"/>
            <w:vAlign w:val="center"/>
          </w:tcPr>
          <w:p>
            <w:pPr>
              <w:tabs>
                <w:tab w:val="left" w:pos="1260"/>
              </w:tabs>
              <w:ind w:left="-82" w:leftChars="-41" w:right="-68" w:rightChars="-34"/>
              <w:jc w:val="center"/>
              <w:rPr>
                <w:rFonts w:ascii="宋体" w:hAnsi="宋体"/>
                <w:b/>
                <w:color w:val="auto"/>
                <w:sz w:val="24"/>
                <w:highlight w:val="none"/>
                <w:lang w:val="en-GB"/>
              </w:rPr>
            </w:pPr>
            <w:r>
              <w:rPr>
                <w:rFonts w:hint="eastAsia" w:ascii="宋体" w:hAnsi="宋体"/>
                <w:b/>
                <w:color w:val="auto"/>
                <w:sz w:val="24"/>
                <w:highlight w:val="none"/>
                <w:lang w:val="en-GB"/>
              </w:rPr>
              <w:t>市</w:t>
            </w:r>
          </w:p>
        </w:tc>
        <w:tc>
          <w:tcPr>
            <w:tcW w:w="416" w:type="pct"/>
            <w:vAlign w:val="center"/>
          </w:tcPr>
          <w:p>
            <w:pPr>
              <w:tabs>
                <w:tab w:val="left" w:pos="1260"/>
              </w:tabs>
              <w:ind w:left="-82" w:leftChars="-41" w:right="-68" w:rightChars="-34"/>
              <w:jc w:val="center"/>
              <w:rPr>
                <w:rFonts w:ascii="宋体" w:hAnsi="宋体"/>
                <w:b/>
                <w:color w:val="auto"/>
                <w:sz w:val="24"/>
                <w:highlight w:val="none"/>
                <w:lang w:val="en-GB"/>
              </w:rPr>
            </w:pPr>
            <w:r>
              <w:rPr>
                <w:rFonts w:hint="eastAsia" w:ascii="宋体" w:hAnsi="宋体"/>
                <w:b/>
                <w:color w:val="auto"/>
                <w:sz w:val="24"/>
                <w:highlight w:val="none"/>
                <w:lang w:val="en-GB"/>
              </w:rPr>
              <w:t>县</w:t>
            </w:r>
          </w:p>
        </w:tc>
        <w:tc>
          <w:tcPr>
            <w:tcW w:w="529" w:type="pct"/>
            <w:vAlign w:val="center"/>
          </w:tcPr>
          <w:p>
            <w:pPr>
              <w:tabs>
                <w:tab w:val="left" w:pos="1260"/>
              </w:tabs>
              <w:ind w:left="-82" w:leftChars="-41" w:right="-68" w:rightChars="-34"/>
              <w:jc w:val="center"/>
              <w:rPr>
                <w:rFonts w:ascii="宋体" w:hAnsi="宋体"/>
                <w:b/>
                <w:color w:val="auto"/>
                <w:sz w:val="24"/>
                <w:highlight w:val="none"/>
                <w:lang w:val="en-GB"/>
              </w:rPr>
            </w:pPr>
            <w:r>
              <w:rPr>
                <w:rFonts w:hint="eastAsia"/>
                <w:b/>
                <w:color w:val="auto"/>
                <w:sz w:val="24"/>
                <w:highlight w:val="none"/>
              </w:rPr>
              <w:t>贫困人员数量</w:t>
            </w:r>
          </w:p>
        </w:tc>
        <w:tc>
          <w:tcPr>
            <w:tcW w:w="811" w:type="pct"/>
            <w:vAlign w:val="center"/>
          </w:tcPr>
          <w:p>
            <w:pPr>
              <w:tabs>
                <w:tab w:val="left" w:pos="1260"/>
              </w:tabs>
              <w:ind w:left="-82" w:leftChars="-41" w:right="-68" w:rightChars="-34"/>
              <w:jc w:val="center"/>
              <w:rPr>
                <w:b/>
                <w:color w:val="auto"/>
                <w:sz w:val="24"/>
                <w:highlight w:val="none"/>
              </w:rPr>
            </w:pPr>
            <w:r>
              <w:rPr>
                <w:rFonts w:hint="eastAsia"/>
                <w:b/>
                <w:color w:val="auto"/>
                <w:sz w:val="24"/>
                <w:highlight w:val="none"/>
              </w:rPr>
              <w:t>外包用工</w:t>
            </w:r>
          </w:p>
        </w:tc>
        <w:tc>
          <w:tcPr>
            <w:tcW w:w="1396" w:type="pct"/>
            <w:vAlign w:val="center"/>
          </w:tcPr>
          <w:p>
            <w:pPr>
              <w:tabs>
                <w:tab w:val="left" w:pos="1260"/>
              </w:tabs>
              <w:ind w:left="-82" w:leftChars="-41" w:right="-68" w:rightChars="-34"/>
              <w:jc w:val="center"/>
              <w:rPr>
                <w:rFonts w:ascii="宋体" w:hAnsi="宋体"/>
                <w:b/>
                <w:color w:val="auto"/>
                <w:sz w:val="24"/>
                <w:highlight w:val="none"/>
                <w:lang w:val="en-GB"/>
              </w:rPr>
            </w:pPr>
            <w:r>
              <w:rPr>
                <w:rFonts w:hint="eastAsia"/>
                <w:b/>
                <w:color w:val="auto"/>
                <w:sz w:val="24"/>
                <w:highlight w:val="none"/>
              </w:rPr>
              <w:t>证实材料</w:t>
            </w:r>
          </w:p>
        </w:tc>
        <w:tc>
          <w:tcPr>
            <w:tcW w:w="735" w:type="pct"/>
            <w:vAlign w:val="center"/>
          </w:tcPr>
          <w:p>
            <w:pPr>
              <w:tabs>
                <w:tab w:val="left" w:pos="1260"/>
              </w:tabs>
              <w:ind w:left="-82" w:leftChars="-41" w:right="-68" w:rightChars="-34"/>
              <w:jc w:val="center"/>
              <w:rPr>
                <w:b/>
                <w:color w:val="auto"/>
                <w:sz w:val="24"/>
                <w:highlight w:val="none"/>
              </w:rPr>
            </w:pPr>
            <w:r>
              <w:rPr>
                <w:rFonts w:hint="eastAsia"/>
                <w:b/>
                <w:color w:val="auto"/>
                <w:sz w:val="24"/>
                <w:highlight w:val="none"/>
              </w:rPr>
              <w:t>合同或</w:t>
            </w:r>
          </w:p>
          <w:p>
            <w:pPr>
              <w:tabs>
                <w:tab w:val="left" w:pos="1260"/>
              </w:tabs>
              <w:ind w:left="-82" w:leftChars="-41" w:right="-68" w:rightChars="-34"/>
              <w:jc w:val="center"/>
              <w:rPr>
                <w:rFonts w:ascii="宋体" w:hAnsi="宋体"/>
                <w:b/>
                <w:color w:val="auto"/>
                <w:sz w:val="24"/>
                <w:highlight w:val="none"/>
                <w:lang w:val="en-GB"/>
              </w:rPr>
            </w:pPr>
            <w:r>
              <w:rPr>
                <w:rFonts w:hint="eastAsia"/>
                <w:b/>
                <w:color w:val="auto"/>
                <w:sz w:val="24"/>
                <w:highlight w:val="none"/>
              </w:rPr>
              <w:t>协议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442" w:type="pct"/>
            <w:tcBorders>
              <w:bottom w:val="single" w:color="auto" w:sz="12" w:space="0"/>
            </w:tcBorders>
            <w:vAlign w:val="center"/>
          </w:tcPr>
          <w:p>
            <w:pPr>
              <w:tabs>
                <w:tab w:val="left" w:pos="1260"/>
              </w:tabs>
              <w:ind w:left="-82" w:leftChars="-41" w:right="-68" w:rightChars="-34"/>
              <w:jc w:val="center"/>
              <w:rPr>
                <w:rFonts w:ascii="宋体" w:hAnsi="宋体"/>
                <w:b/>
                <w:color w:val="auto"/>
                <w:sz w:val="24"/>
                <w:highlight w:val="none"/>
                <w:lang w:val="en-GB"/>
              </w:rPr>
            </w:pPr>
          </w:p>
        </w:tc>
        <w:tc>
          <w:tcPr>
            <w:tcW w:w="341" w:type="pct"/>
            <w:tcBorders>
              <w:bottom w:val="single" w:color="auto" w:sz="12" w:space="0"/>
            </w:tcBorders>
            <w:vAlign w:val="center"/>
          </w:tcPr>
          <w:p>
            <w:pPr>
              <w:tabs>
                <w:tab w:val="left" w:pos="1260"/>
              </w:tabs>
              <w:jc w:val="center"/>
              <w:rPr>
                <w:rFonts w:ascii="宋体" w:hAnsi="宋体"/>
                <w:color w:val="auto"/>
                <w:sz w:val="24"/>
                <w:highlight w:val="none"/>
                <w:lang w:val="en-GB"/>
              </w:rPr>
            </w:pPr>
          </w:p>
        </w:tc>
        <w:tc>
          <w:tcPr>
            <w:tcW w:w="330" w:type="pct"/>
            <w:tcBorders>
              <w:bottom w:val="single" w:color="auto" w:sz="12" w:space="0"/>
            </w:tcBorders>
            <w:vAlign w:val="center"/>
          </w:tcPr>
          <w:p>
            <w:pPr>
              <w:tabs>
                <w:tab w:val="left" w:pos="1260"/>
              </w:tabs>
              <w:jc w:val="center"/>
              <w:rPr>
                <w:rFonts w:ascii="宋体" w:hAnsi="宋体"/>
                <w:color w:val="auto"/>
                <w:sz w:val="24"/>
                <w:highlight w:val="none"/>
                <w:lang w:val="en-GB"/>
              </w:rPr>
            </w:pPr>
          </w:p>
        </w:tc>
        <w:tc>
          <w:tcPr>
            <w:tcW w:w="416" w:type="pct"/>
            <w:tcBorders>
              <w:bottom w:val="single" w:color="auto" w:sz="12" w:space="0"/>
            </w:tcBorders>
            <w:vAlign w:val="center"/>
          </w:tcPr>
          <w:p>
            <w:pPr>
              <w:tabs>
                <w:tab w:val="left" w:pos="1260"/>
              </w:tabs>
              <w:jc w:val="center"/>
              <w:rPr>
                <w:rFonts w:ascii="宋体" w:hAnsi="宋体"/>
                <w:color w:val="auto"/>
                <w:sz w:val="24"/>
                <w:highlight w:val="none"/>
                <w:lang w:val="en-GB"/>
              </w:rPr>
            </w:pPr>
          </w:p>
        </w:tc>
        <w:tc>
          <w:tcPr>
            <w:tcW w:w="529" w:type="pct"/>
            <w:tcBorders>
              <w:bottom w:val="single" w:color="auto" w:sz="12" w:space="0"/>
            </w:tcBorders>
            <w:vAlign w:val="center"/>
          </w:tcPr>
          <w:p>
            <w:pPr>
              <w:tabs>
                <w:tab w:val="left" w:pos="1260"/>
              </w:tabs>
              <w:jc w:val="center"/>
              <w:rPr>
                <w:rFonts w:ascii="宋体" w:hAnsi="宋体"/>
                <w:color w:val="auto"/>
                <w:sz w:val="24"/>
                <w:highlight w:val="none"/>
                <w:lang w:val="en-GB"/>
              </w:rPr>
            </w:pPr>
          </w:p>
        </w:tc>
        <w:tc>
          <w:tcPr>
            <w:tcW w:w="811" w:type="pct"/>
            <w:tcBorders>
              <w:bottom w:val="single" w:color="auto" w:sz="12" w:space="0"/>
            </w:tcBorders>
            <w:vAlign w:val="center"/>
          </w:tcPr>
          <w:p>
            <w:pPr>
              <w:tabs>
                <w:tab w:val="left" w:pos="1260"/>
              </w:tabs>
              <w:jc w:val="center"/>
              <w:rPr>
                <w:rFonts w:ascii="宋体" w:hAnsi="宋体"/>
                <w:color w:val="auto"/>
                <w:sz w:val="24"/>
                <w:highlight w:val="none"/>
                <w:lang w:val="en-GB"/>
              </w:rPr>
            </w:pPr>
            <w:r>
              <w:rPr>
                <w:rFonts w:hint="eastAsia" w:ascii="宋体" w:hAnsi="宋体"/>
                <w:color w:val="auto"/>
                <w:szCs w:val="21"/>
                <w:highlight w:val="none"/>
              </w:rPr>
              <w:t>□</w:t>
            </w:r>
            <w:r>
              <w:rPr>
                <w:rFonts w:hint="eastAsia" w:ascii="宋体" w:hAnsi="宋体"/>
                <w:color w:val="auto"/>
                <w:sz w:val="24"/>
                <w:highlight w:val="none"/>
                <w:lang w:val="en-GB"/>
              </w:rPr>
              <w:t>是</w:t>
            </w:r>
          </w:p>
          <w:p>
            <w:pPr>
              <w:tabs>
                <w:tab w:val="left" w:pos="1260"/>
              </w:tabs>
              <w:jc w:val="center"/>
              <w:rPr>
                <w:color w:val="auto"/>
                <w:sz w:val="24"/>
                <w:highlight w:val="none"/>
              </w:rPr>
            </w:pPr>
            <w:r>
              <w:rPr>
                <w:rFonts w:hint="eastAsia" w:ascii="宋体" w:hAnsi="宋体"/>
                <w:color w:val="auto"/>
                <w:szCs w:val="21"/>
                <w:highlight w:val="none"/>
              </w:rPr>
              <w:t>□</w:t>
            </w:r>
            <w:r>
              <w:rPr>
                <w:rFonts w:hint="eastAsia" w:ascii="宋体" w:hAnsi="宋体"/>
                <w:color w:val="auto"/>
                <w:sz w:val="24"/>
                <w:highlight w:val="none"/>
                <w:lang w:val="en-GB"/>
              </w:rPr>
              <w:t>否</w:t>
            </w:r>
          </w:p>
        </w:tc>
        <w:tc>
          <w:tcPr>
            <w:tcW w:w="1396" w:type="pct"/>
            <w:tcBorders>
              <w:bottom w:val="single" w:color="auto" w:sz="12" w:space="0"/>
            </w:tcBorders>
            <w:vAlign w:val="center"/>
          </w:tcPr>
          <w:p>
            <w:pPr>
              <w:tabs>
                <w:tab w:val="left" w:pos="1260"/>
              </w:tabs>
              <w:jc w:val="left"/>
              <w:rPr>
                <w:color w:val="auto"/>
                <w:sz w:val="24"/>
                <w:highlight w:val="none"/>
              </w:rPr>
            </w:pPr>
            <w:r>
              <w:rPr>
                <w:rFonts w:hint="eastAsia" w:ascii="宋体" w:hAnsi="宋体"/>
                <w:color w:val="auto"/>
                <w:szCs w:val="21"/>
                <w:highlight w:val="none"/>
              </w:rPr>
              <w:t>□</w:t>
            </w:r>
            <w:r>
              <w:rPr>
                <w:rFonts w:hint="eastAsia"/>
                <w:color w:val="auto"/>
                <w:sz w:val="24"/>
                <w:highlight w:val="none"/>
              </w:rPr>
              <w:t>劳动合同</w:t>
            </w:r>
          </w:p>
          <w:p>
            <w:pPr>
              <w:tabs>
                <w:tab w:val="left" w:pos="1260"/>
              </w:tabs>
              <w:jc w:val="left"/>
              <w:rPr>
                <w:color w:val="auto"/>
                <w:sz w:val="24"/>
                <w:highlight w:val="none"/>
              </w:rPr>
            </w:pPr>
            <w:r>
              <w:rPr>
                <w:rFonts w:hint="eastAsia" w:ascii="宋体" w:hAnsi="宋体"/>
                <w:color w:val="auto"/>
                <w:szCs w:val="21"/>
                <w:highlight w:val="none"/>
              </w:rPr>
              <w:t>□</w:t>
            </w:r>
            <w:r>
              <w:rPr>
                <w:rFonts w:hint="eastAsia"/>
                <w:color w:val="auto"/>
                <w:sz w:val="24"/>
                <w:highlight w:val="none"/>
              </w:rPr>
              <w:t>保险缴纳凭证</w:t>
            </w:r>
          </w:p>
          <w:p>
            <w:pPr>
              <w:tabs>
                <w:tab w:val="left" w:pos="1260"/>
              </w:tabs>
              <w:jc w:val="left"/>
              <w:rPr>
                <w:rFonts w:ascii="宋体" w:hAnsi="宋体"/>
                <w:color w:val="auto"/>
                <w:sz w:val="24"/>
                <w:highlight w:val="none"/>
                <w:lang w:val="en-GB"/>
              </w:rPr>
            </w:pPr>
            <w:r>
              <w:rPr>
                <w:rFonts w:hint="eastAsia" w:ascii="宋体" w:hAnsi="宋体"/>
                <w:color w:val="auto"/>
                <w:szCs w:val="21"/>
                <w:highlight w:val="none"/>
              </w:rPr>
              <w:t>□</w:t>
            </w:r>
            <w:r>
              <w:rPr>
                <w:rFonts w:hint="eastAsia"/>
                <w:color w:val="auto"/>
                <w:sz w:val="24"/>
                <w:highlight w:val="none"/>
              </w:rPr>
              <w:t>工资发放凭证</w:t>
            </w:r>
          </w:p>
        </w:tc>
        <w:tc>
          <w:tcPr>
            <w:tcW w:w="735" w:type="pct"/>
            <w:tcBorders>
              <w:bottom w:val="single" w:color="auto" w:sz="12" w:space="0"/>
            </w:tcBorders>
            <w:vAlign w:val="center"/>
          </w:tcPr>
          <w:p>
            <w:pPr>
              <w:tabs>
                <w:tab w:val="left" w:pos="1260"/>
              </w:tabs>
              <w:jc w:val="center"/>
              <w:rPr>
                <w:rFonts w:ascii="宋体" w:hAnsi="宋体"/>
                <w:color w:val="auto"/>
                <w:sz w:val="24"/>
                <w:highlight w:val="none"/>
                <w:lang w:val="en-GB"/>
              </w:rPr>
            </w:pPr>
            <w:r>
              <w:rPr>
                <w:rFonts w:hint="eastAsia" w:ascii="宋体" w:hAnsi="宋体"/>
                <w:color w:val="auto"/>
                <w:szCs w:val="21"/>
                <w:highlight w:val="none"/>
              </w:rPr>
              <w:t>□</w:t>
            </w:r>
            <w:r>
              <w:rPr>
                <w:rFonts w:hint="eastAsia" w:ascii="宋体" w:hAnsi="宋体"/>
                <w:color w:val="auto"/>
                <w:sz w:val="24"/>
                <w:highlight w:val="none"/>
                <w:lang w:val="en-GB"/>
              </w:rPr>
              <w:t>有</w:t>
            </w:r>
          </w:p>
          <w:p>
            <w:pPr>
              <w:tabs>
                <w:tab w:val="left" w:pos="1260"/>
              </w:tabs>
              <w:jc w:val="center"/>
              <w:rPr>
                <w:rFonts w:ascii="宋体" w:hAnsi="宋体"/>
                <w:color w:val="auto"/>
                <w:sz w:val="24"/>
                <w:highlight w:val="none"/>
                <w:lang w:val="en-GB"/>
              </w:rPr>
            </w:pPr>
            <w:r>
              <w:rPr>
                <w:rFonts w:hint="eastAsia" w:ascii="宋体" w:hAnsi="宋体"/>
                <w:color w:val="auto"/>
                <w:szCs w:val="21"/>
                <w:highlight w:val="none"/>
              </w:rPr>
              <w:t>□</w:t>
            </w:r>
            <w:r>
              <w:rPr>
                <w:rFonts w:hint="eastAsia" w:ascii="宋体" w:hAnsi="宋体"/>
                <w:color w:val="auto"/>
                <w:sz w:val="24"/>
                <w:highlight w:val="none"/>
                <w:lang w:val="en-GB"/>
              </w:rPr>
              <w:t>否</w:t>
            </w:r>
          </w:p>
        </w:tc>
      </w:tr>
    </w:tbl>
    <w:p>
      <w:pPr>
        <w:snapToGrid w:val="0"/>
        <w:spacing w:line="360" w:lineRule="auto"/>
        <w:rPr>
          <w:rFonts w:ascii="宋体" w:hAnsi="宋体"/>
          <w:color w:val="auto"/>
          <w:sz w:val="24"/>
          <w:highlight w:val="none"/>
        </w:rPr>
      </w:pPr>
      <w:r>
        <w:rPr>
          <w:rFonts w:hint="eastAsia" w:ascii="宋体" w:hAnsi="宋体"/>
          <w:color w:val="auto"/>
          <w:sz w:val="24"/>
          <w:highlight w:val="none"/>
        </w:rPr>
        <w:t>说明：贫困县域物业公司参与物业服务政府采购,享受上述优惠政策时，应提供以下佐证材料：</w:t>
      </w:r>
    </w:p>
    <w:p>
      <w:pPr>
        <w:numPr>
          <w:ilvl w:val="2"/>
          <w:numId w:val="104"/>
        </w:numPr>
        <w:snapToGrid w:val="0"/>
        <w:spacing w:line="360" w:lineRule="auto"/>
        <w:ind w:left="567" w:hanging="425"/>
        <w:rPr>
          <w:color w:val="auto"/>
          <w:sz w:val="24"/>
          <w:highlight w:val="none"/>
        </w:rPr>
      </w:pPr>
      <w:r>
        <w:rPr>
          <w:rFonts w:hint="eastAsia"/>
          <w:color w:val="auto"/>
          <w:sz w:val="24"/>
          <w:highlight w:val="none"/>
        </w:rPr>
        <w:t>供应商注册所在地县扶贫部门出具的本公司聘用建档立卡贫困人员具体数量证明，并加盖供应商单位公章。</w:t>
      </w:r>
    </w:p>
    <w:p>
      <w:pPr>
        <w:numPr>
          <w:ilvl w:val="2"/>
          <w:numId w:val="104"/>
        </w:numPr>
        <w:snapToGrid w:val="0"/>
        <w:spacing w:line="360" w:lineRule="auto"/>
        <w:ind w:left="567" w:hanging="425"/>
        <w:rPr>
          <w:color w:val="auto"/>
          <w:sz w:val="24"/>
          <w:highlight w:val="none"/>
        </w:rPr>
      </w:pPr>
      <w:r>
        <w:rPr>
          <w:rFonts w:hint="eastAsia"/>
          <w:color w:val="auto"/>
          <w:sz w:val="24"/>
          <w:highlight w:val="none"/>
        </w:rPr>
        <w:t>劳动合同或保险缴纳凭证、工资发放凭证等证实本公司聘用建档立卡贫困人员的材料，并加盖供应商单位公章。</w:t>
      </w:r>
    </w:p>
    <w:p>
      <w:pPr>
        <w:numPr>
          <w:ilvl w:val="2"/>
          <w:numId w:val="104"/>
        </w:numPr>
        <w:snapToGrid w:val="0"/>
        <w:spacing w:line="360" w:lineRule="auto"/>
        <w:ind w:left="567" w:hanging="425"/>
        <w:rPr>
          <w:color w:val="auto"/>
          <w:sz w:val="24"/>
          <w:highlight w:val="none"/>
        </w:rPr>
      </w:pPr>
      <w:r>
        <w:rPr>
          <w:rFonts w:hint="eastAsia"/>
          <w:color w:val="auto"/>
          <w:sz w:val="24"/>
          <w:highlight w:val="none"/>
        </w:rPr>
        <w:t>如公司通过服务外包工方式聘用了建档立卡贫困人员，还应提供公司与服务外包公司签订的合同或协议，以及扶贫部门出具的该服务外包聘用建档立卡贫困人员具体数量证明，并加盖供应商单位公章。</w:t>
      </w:r>
    </w:p>
    <w:p>
      <w:pPr>
        <w:spacing w:line="500" w:lineRule="exact"/>
        <w:rPr>
          <w:rFonts w:ascii="宋体" w:hAnsi="宋体"/>
          <w:color w:val="auto"/>
          <w:sz w:val="24"/>
          <w:highlight w:val="none"/>
          <w:u w:val="single"/>
        </w:rPr>
      </w:pPr>
      <w:r>
        <w:rPr>
          <w:rFonts w:hint="eastAsia"/>
          <w:color w:val="auto"/>
          <w:spacing w:val="4"/>
          <w:sz w:val="24"/>
          <w:highlight w:val="none"/>
        </w:rPr>
        <w:t>投标人名称（</w:t>
      </w:r>
      <w:r>
        <w:rPr>
          <w:rFonts w:hint="eastAsia" w:ascii="宋体" w:hAnsi="宋体"/>
          <w:color w:val="auto"/>
          <w:sz w:val="24"/>
          <w:highlight w:val="none"/>
        </w:rPr>
        <w:t>单位盖</w:t>
      </w:r>
      <w:r>
        <w:rPr>
          <w:rFonts w:hint="eastAsia"/>
          <w:color w:val="auto"/>
          <w:spacing w:val="4"/>
          <w:sz w:val="24"/>
          <w:highlight w:val="none"/>
        </w:rPr>
        <w:t>公章）：</w:t>
      </w:r>
    </w:p>
    <w:p>
      <w:pPr>
        <w:spacing w:line="520" w:lineRule="exact"/>
        <w:rPr>
          <w:color w:val="auto"/>
          <w:spacing w:val="4"/>
          <w:sz w:val="24"/>
          <w:highlight w:val="none"/>
        </w:rPr>
      </w:pPr>
      <w:r>
        <w:rPr>
          <w:rFonts w:hint="eastAsia"/>
          <w:color w:val="auto"/>
          <w:spacing w:val="4"/>
          <w:sz w:val="24"/>
          <w:highlight w:val="none"/>
        </w:rPr>
        <w:t>日期：</w:t>
      </w:r>
    </w:p>
    <w:p>
      <w:pPr>
        <w:widowControl/>
        <w:jc w:val="left"/>
        <w:rPr>
          <w:rFonts w:ascii="Arial" w:hAnsi="Arial" w:eastAsia="黑体"/>
          <w:bCs/>
          <w:color w:val="auto"/>
          <w:sz w:val="32"/>
          <w:szCs w:val="32"/>
          <w:highlight w:val="none"/>
        </w:rPr>
      </w:pPr>
      <w:r>
        <w:rPr>
          <w:b/>
          <w:color w:val="auto"/>
          <w:highlight w:val="none"/>
        </w:rPr>
        <w:br w:type="page"/>
      </w:r>
    </w:p>
    <w:p>
      <w:pPr>
        <w:tabs>
          <w:tab w:val="left" w:pos="426"/>
        </w:tabs>
        <w:autoSpaceDE w:val="0"/>
        <w:autoSpaceDN w:val="0"/>
        <w:spacing w:line="360" w:lineRule="auto"/>
        <w:jc w:val="center"/>
        <w:outlineLvl w:val="3"/>
        <w:rPr>
          <w:rFonts w:ascii="黑体" w:hAnsi="黑体" w:eastAsia="黑体"/>
          <w:color w:val="auto"/>
          <w:sz w:val="32"/>
          <w:szCs w:val="32"/>
          <w:highlight w:val="none"/>
        </w:rPr>
      </w:pPr>
      <w:bookmarkStart w:id="69" w:name="_Toc435514854"/>
      <w:bookmarkStart w:id="70" w:name="_Toc275865605"/>
      <w:bookmarkStart w:id="71" w:name="_Toc435515294"/>
      <w:r>
        <w:rPr>
          <w:rFonts w:hint="eastAsia" w:ascii="黑体" w:hAnsi="黑体" w:eastAsia="黑体"/>
          <w:color w:val="auto"/>
          <w:sz w:val="32"/>
          <w:szCs w:val="32"/>
          <w:highlight w:val="none"/>
        </w:rPr>
        <w:t>投标人资格声明函</w:t>
      </w:r>
    </w:p>
    <w:p>
      <w:pPr>
        <w:snapToGrid w:val="0"/>
        <w:spacing w:line="360" w:lineRule="auto"/>
        <w:rPr>
          <w:b/>
          <w:color w:val="auto"/>
          <w:sz w:val="24"/>
          <w:highlight w:val="none"/>
        </w:rPr>
      </w:pPr>
      <w:r>
        <w:rPr>
          <w:rFonts w:hint="eastAsia"/>
          <w:b/>
          <w:color w:val="auto"/>
          <w:sz w:val="24"/>
          <w:highlight w:val="none"/>
        </w:rPr>
        <w:t>广东采联采购科技有限公司：</w:t>
      </w:r>
    </w:p>
    <w:p>
      <w:pPr>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关于贵公司</w:t>
      </w:r>
      <w:r>
        <w:rPr>
          <w:rFonts w:hint="eastAsia" w:ascii="宋体" w:hAnsi="宋体"/>
          <w:color w:val="auto"/>
          <w:sz w:val="24"/>
          <w:highlight w:val="none"/>
          <w:lang w:val="en-US" w:eastAsia="zh-CN"/>
        </w:rPr>
        <w:t xml:space="preserve"> </w:t>
      </w:r>
      <w:r>
        <w:rPr>
          <w:rFonts w:hint="eastAsia" w:ascii="宋体" w:hAnsi="宋体"/>
          <w:color w:val="auto"/>
          <w:sz w:val="24"/>
          <w:highlight w:val="none"/>
        </w:rPr>
        <w:t>年</w:t>
      </w:r>
      <w:r>
        <w:rPr>
          <w:rFonts w:hint="eastAsia" w:ascii="宋体" w:hAnsi="宋体"/>
          <w:color w:val="auto"/>
          <w:sz w:val="24"/>
          <w:highlight w:val="none"/>
          <w:lang w:val="en-US" w:eastAsia="zh-CN"/>
        </w:rPr>
        <w:t xml:space="preserve"> </w:t>
      </w:r>
      <w:r>
        <w:rPr>
          <w:rFonts w:hint="eastAsia" w:ascii="宋体" w:hAnsi="宋体"/>
          <w:color w:val="auto"/>
          <w:sz w:val="24"/>
          <w:highlight w:val="none"/>
        </w:rPr>
        <w:t>月</w:t>
      </w:r>
      <w:r>
        <w:rPr>
          <w:rFonts w:hint="eastAsia" w:ascii="宋体" w:hAnsi="宋体"/>
          <w:color w:val="auto"/>
          <w:sz w:val="24"/>
          <w:highlight w:val="none"/>
          <w:lang w:val="en-US" w:eastAsia="zh-CN"/>
        </w:rPr>
        <w:t xml:space="preserve"> </w:t>
      </w:r>
      <w:r>
        <w:rPr>
          <w:rFonts w:hint="eastAsia" w:ascii="宋体" w:hAnsi="宋体"/>
          <w:color w:val="auto"/>
          <w:sz w:val="24"/>
          <w:highlight w:val="none"/>
        </w:rPr>
        <w:t>日发布</w:t>
      </w:r>
      <w:r>
        <w:rPr>
          <w:rFonts w:hint="eastAsia" w:ascii="宋体" w:hAnsi="宋体"/>
          <w:color w:val="auto"/>
          <w:sz w:val="24"/>
          <w:highlight w:val="none"/>
          <w:u w:val="single"/>
        </w:rPr>
        <w:t>2020-2021年食品安全监督抽检项目</w:t>
      </w:r>
      <w:r>
        <w:rPr>
          <w:rFonts w:hint="eastAsia" w:ascii="宋体" w:hAnsi="宋体"/>
          <w:color w:val="auto"/>
          <w:sz w:val="24"/>
          <w:highlight w:val="none"/>
        </w:rPr>
        <w:t>项目（项目编号：kp2020-00239（CLF0120JM00ZC33））的采购公告，本单位愿意参加投标，并声明：</w:t>
      </w:r>
    </w:p>
    <w:p>
      <w:pPr>
        <w:pStyle w:val="24"/>
        <w:numPr>
          <w:ilvl w:val="0"/>
          <w:numId w:val="105"/>
        </w:numPr>
        <w:tabs>
          <w:tab w:val="left" w:pos="993"/>
        </w:tabs>
        <w:snapToGrid w:val="0"/>
        <w:spacing w:line="360" w:lineRule="auto"/>
        <w:ind w:firstLineChars="0"/>
        <w:rPr>
          <w:rFonts w:ascii="宋体" w:hAnsi="宋体"/>
          <w:bCs/>
          <w:color w:val="auto"/>
          <w:sz w:val="24"/>
          <w:highlight w:val="none"/>
        </w:rPr>
      </w:pPr>
      <w:r>
        <w:rPr>
          <w:rFonts w:hint="eastAsia" w:ascii="宋体" w:hAnsi="宋体"/>
          <w:bCs/>
          <w:color w:val="auto"/>
          <w:sz w:val="24"/>
          <w:highlight w:val="none"/>
        </w:rPr>
        <w:t>本单位具备以下条件：</w:t>
      </w:r>
    </w:p>
    <w:p>
      <w:pPr>
        <w:pStyle w:val="24"/>
        <w:widowControl/>
        <w:numPr>
          <w:ilvl w:val="0"/>
          <w:numId w:val="106"/>
        </w:numPr>
        <w:snapToGrid w:val="0"/>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 xml:space="preserve">具备提供服务所必需的设施、人员和专业技术能力； </w:t>
      </w:r>
    </w:p>
    <w:p>
      <w:pPr>
        <w:pStyle w:val="24"/>
        <w:widowControl/>
        <w:numPr>
          <w:ilvl w:val="0"/>
          <w:numId w:val="106"/>
        </w:numPr>
        <w:snapToGrid w:val="0"/>
        <w:spacing w:line="360" w:lineRule="auto"/>
        <w:ind w:left="142" w:firstLine="284" w:firstLineChars="0"/>
        <w:rPr>
          <w:rFonts w:ascii="宋体" w:hAnsi="宋体" w:cs="宋体"/>
          <w:color w:val="auto"/>
          <w:sz w:val="24"/>
          <w:highlight w:val="none"/>
        </w:rPr>
      </w:pPr>
      <w:r>
        <w:rPr>
          <w:rFonts w:hint="eastAsia" w:ascii="宋体" w:hAnsi="宋体" w:cs="宋体"/>
          <w:bCs/>
          <w:color w:val="auto"/>
          <w:sz w:val="24"/>
          <w:highlight w:val="none"/>
        </w:rPr>
        <w:t>本单位（如前三年内有名称变更的，含变更前名称）</w:t>
      </w:r>
      <w:r>
        <w:rPr>
          <w:rFonts w:hint="eastAsia" w:asciiTheme="majorEastAsia" w:hAnsiTheme="majorEastAsia" w:eastAsiaTheme="majorEastAsia"/>
          <w:color w:val="auto"/>
          <w:sz w:val="24"/>
          <w:highlight w:val="none"/>
        </w:rPr>
        <w:t>参加政府采购活动前三年内，在经营活动中没有重大违法记录</w:t>
      </w:r>
      <w:r>
        <w:rPr>
          <w:rFonts w:hint="eastAsia" w:ascii="宋体" w:hAnsi="宋体"/>
          <w:color w:val="auto"/>
          <w:sz w:val="24"/>
          <w:szCs w:val="21"/>
          <w:highlight w:val="none"/>
        </w:rPr>
        <w:t>（重大违法记录是指没有因违法经营受到刑事处罚或责令停产停业、吊销许可证或者执照、较大数额罚款等行政处罚）</w:t>
      </w:r>
      <w:r>
        <w:rPr>
          <w:rFonts w:hint="eastAsia" w:ascii="宋体" w:hAnsi="宋体" w:cs="宋体"/>
          <w:color w:val="auto"/>
          <w:sz w:val="24"/>
          <w:highlight w:val="none"/>
        </w:rPr>
        <w:t>；</w:t>
      </w:r>
    </w:p>
    <w:p>
      <w:pPr>
        <w:pStyle w:val="24"/>
        <w:widowControl/>
        <w:numPr>
          <w:ilvl w:val="0"/>
          <w:numId w:val="106"/>
        </w:numPr>
        <w:snapToGrid w:val="0"/>
        <w:spacing w:line="360" w:lineRule="auto"/>
        <w:ind w:firstLineChars="0"/>
        <w:rPr>
          <w:rFonts w:ascii="宋体" w:hAnsi="宋体" w:cs="宋体"/>
          <w:color w:val="auto"/>
          <w:sz w:val="24"/>
          <w:highlight w:val="none"/>
        </w:rPr>
      </w:pPr>
      <w:r>
        <w:rPr>
          <w:rFonts w:hint="eastAsia" w:ascii="宋体" w:hAnsi="宋体" w:cs="宋体"/>
          <w:color w:val="auto"/>
          <w:sz w:val="24"/>
          <w:highlight w:val="none"/>
        </w:rPr>
        <w:t>法律、法规规定要求的其他条件。</w:t>
      </w:r>
    </w:p>
    <w:p>
      <w:pPr>
        <w:pStyle w:val="24"/>
        <w:numPr>
          <w:ilvl w:val="0"/>
          <w:numId w:val="105"/>
        </w:numPr>
        <w:tabs>
          <w:tab w:val="left" w:pos="993"/>
        </w:tabs>
        <w:snapToGrid w:val="0"/>
        <w:spacing w:line="360" w:lineRule="auto"/>
        <w:ind w:left="0" w:firstLine="426" w:firstLineChars="0"/>
        <w:rPr>
          <w:rFonts w:ascii="宋体" w:hAnsi="宋体"/>
          <w:bCs/>
          <w:color w:val="auto"/>
          <w:sz w:val="24"/>
          <w:highlight w:val="none"/>
        </w:rPr>
      </w:pPr>
      <w:r>
        <w:rPr>
          <w:rFonts w:hint="eastAsia" w:ascii="宋体" w:hAnsi="宋体"/>
          <w:bCs/>
          <w:color w:val="auto"/>
          <w:sz w:val="24"/>
          <w:highlight w:val="none"/>
        </w:rPr>
        <w:t>本单位及附属机构，并非受托为</w:t>
      </w:r>
      <w:r>
        <w:rPr>
          <w:rFonts w:hint="eastAsia" w:cs="宋体" w:asciiTheme="minorEastAsia" w:hAnsiTheme="minorEastAsia" w:eastAsiaTheme="minorEastAsia"/>
          <w:bCs/>
          <w:color w:val="auto"/>
          <w:sz w:val="24"/>
          <w:highlight w:val="none"/>
        </w:rPr>
        <w:t>本项目同一合同项下</w:t>
      </w:r>
      <w:r>
        <w:rPr>
          <w:rFonts w:hint="eastAsia" w:ascii="宋体" w:hAnsi="宋体"/>
          <w:bCs/>
          <w:color w:val="auto"/>
          <w:sz w:val="24"/>
          <w:highlight w:val="none"/>
        </w:rPr>
        <w:t>或者其中分项目的前期工作提供设计、编制规范、进行管理等服务的供应商。</w:t>
      </w:r>
    </w:p>
    <w:p>
      <w:pPr>
        <w:pStyle w:val="24"/>
        <w:numPr>
          <w:ilvl w:val="0"/>
          <w:numId w:val="105"/>
        </w:numPr>
        <w:tabs>
          <w:tab w:val="left" w:pos="993"/>
        </w:tabs>
        <w:snapToGrid w:val="0"/>
        <w:spacing w:line="360" w:lineRule="auto"/>
        <w:ind w:left="0" w:firstLine="426" w:firstLineChars="0"/>
        <w:rPr>
          <w:rFonts w:ascii="宋体" w:hAnsi="宋体"/>
          <w:bCs/>
          <w:color w:val="auto"/>
          <w:sz w:val="24"/>
          <w:highlight w:val="none"/>
        </w:rPr>
      </w:pPr>
      <w:r>
        <w:rPr>
          <w:rFonts w:hint="eastAsia" w:ascii="宋体" w:hAnsi="宋体"/>
          <w:bCs/>
          <w:color w:val="auto"/>
          <w:sz w:val="24"/>
          <w:highlight w:val="none"/>
        </w:rPr>
        <w:t>本单位没有为采购项目同一合同项下提供整体设计、规范编制或者项目管理、监理、检测等服务。</w:t>
      </w:r>
    </w:p>
    <w:p>
      <w:pPr>
        <w:pStyle w:val="24"/>
        <w:numPr>
          <w:ilvl w:val="0"/>
          <w:numId w:val="105"/>
        </w:numPr>
        <w:tabs>
          <w:tab w:val="left" w:pos="993"/>
        </w:tabs>
        <w:snapToGrid w:val="0"/>
        <w:spacing w:line="360" w:lineRule="auto"/>
        <w:ind w:left="0" w:firstLine="426" w:firstLineChars="0"/>
        <w:rPr>
          <w:rFonts w:ascii="宋体" w:hAnsi="宋体"/>
          <w:bCs/>
          <w:color w:val="auto"/>
          <w:sz w:val="24"/>
          <w:highlight w:val="none"/>
        </w:rPr>
      </w:pPr>
      <w:r>
        <w:rPr>
          <w:rFonts w:hint="eastAsia" w:ascii="宋体" w:hAnsi="宋体"/>
          <w:bCs/>
          <w:color w:val="auto"/>
          <w:sz w:val="24"/>
          <w:highlight w:val="none"/>
        </w:rPr>
        <w:t>我方承诺如与本项目同一合同项下其他投标人的单位负责人为同一人或者存在直接控股、管理关系的情形，同意按投标无效处理。</w:t>
      </w:r>
    </w:p>
    <w:p>
      <w:pPr>
        <w:snapToGrid w:val="0"/>
        <w:spacing w:line="360" w:lineRule="auto"/>
        <w:ind w:firstLine="484" w:firstLineChars="202"/>
        <w:rPr>
          <w:rFonts w:ascii="宋体" w:hAnsi="宋体"/>
          <w:color w:val="auto"/>
          <w:sz w:val="24"/>
          <w:highlight w:val="none"/>
        </w:rPr>
      </w:pPr>
      <w:r>
        <w:rPr>
          <w:rFonts w:hint="eastAsia" w:ascii="宋体" w:hAnsi="宋体"/>
          <w:color w:val="auto"/>
          <w:sz w:val="24"/>
          <w:highlight w:val="none"/>
        </w:rPr>
        <w:t>本单位承诺在本次招标采购活动中，如有违法、违规、弄虚作假行为，所造成的损失、不良后果及法律责任，一律由我单位承担。</w:t>
      </w:r>
    </w:p>
    <w:p>
      <w:pPr>
        <w:snapToGrid w:val="0"/>
        <w:spacing w:line="360" w:lineRule="auto"/>
        <w:ind w:firstLine="420"/>
        <w:rPr>
          <w:color w:val="auto"/>
          <w:sz w:val="24"/>
          <w:highlight w:val="none"/>
        </w:rPr>
      </w:pPr>
      <w:r>
        <w:rPr>
          <w:rFonts w:hint="eastAsia"/>
          <w:color w:val="auto"/>
          <w:sz w:val="24"/>
          <w:highlight w:val="none"/>
        </w:rPr>
        <w:t>特此声明！</w:t>
      </w:r>
    </w:p>
    <w:p>
      <w:pPr>
        <w:autoSpaceDE w:val="0"/>
        <w:autoSpaceDN w:val="0"/>
        <w:snapToGrid w:val="0"/>
        <w:spacing w:line="360" w:lineRule="auto"/>
        <w:rPr>
          <w:rFonts w:ascii="宋体" w:hAnsi="宋体"/>
          <w:b/>
          <w:color w:val="auto"/>
          <w:sz w:val="24"/>
          <w:highlight w:val="none"/>
        </w:rPr>
      </w:pPr>
      <w:r>
        <w:rPr>
          <w:rFonts w:hint="eastAsia" w:ascii="宋体" w:hAnsi="宋体"/>
          <w:b/>
          <w:color w:val="auto"/>
          <w:sz w:val="24"/>
          <w:highlight w:val="none"/>
        </w:rPr>
        <w:t>说明：</w:t>
      </w:r>
    </w:p>
    <w:p>
      <w:pPr>
        <w:pStyle w:val="24"/>
        <w:numPr>
          <w:ilvl w:val="0"/>
          <w:numId w:val="107"/>
        </w:numPr>
        <w:autoSpaceDE w:val="0"/>
        <w:autoSpaceDN w:val="0"/>
        <w:snapToGrid w:val="0"/>
        <w:spacing w:line="360" w:lineRule="auto"/>
        <w:ind w:firstLineChars="0"/>
        <w:jc w:val="left"/>
        <w:rPr>
          <w:rFonts w:ascii="宋体" w:hAnsi="宋体"/>
          <w:color w:val="auto"/>
          <w:sz w:val="24"/>
          <w:highlight w:val="none"/>
        </w:rPr>
      </w:pPr>
      <w:r>
        <w:rPr>
          <w:rFonts w:hint="eastAsia" w:ascii="宋体" w:hAnsi="宋体"/>
          <w:color w:val="auto"/>
          <w:sz w:val="24"/>
          <w:highlight w:val="none"/>
        </w:rPr>
        <w:t>本声明函必须提供且内容不得擅自删改，否则视为</w:t>
      </w:r>
      <w:r>
        <w:rPr>
          <w:rFonts w:hint="eastAsia" w:ascii="宋体" w:hAnsi="宋体"/>
          <w:b/>
          <w:color w:val="auto"/>
          <w:sz w:val="24"/>
          <w:highlight w:val="none"/>
        </w:rPr>
        <w:t>无效投标</w:t>
      </w:r>
      <w:r>
        <w:rPr>
          <w:rFonts w:hint="eastAsia" w:ascii="宋体" w:hAnsi="宋体"/>
          <w:color w:val="auto"/>
          <w:sz w:val="24"/>
          <w:highlight w:val="none"/>
        </w:rPr>
        <w:t>。</w:t>
      </w:r>
    </w:p>
    <w:p>
      <w:pPr>
        <w:pStyle w:val="24"/>
        <w:numPr>
          <w:ilvl w:val="0"/>
          <w:numId w:val="107"/>
        </w:numPr>
        <w:autoSpaceDE w:val="0"/>
        <w:autoSpaceDN w:val="0"/>
        <w:snapToGrid w:val="0"/>
        <w:spacing w:line="360" w:lineRule="auto"/>
        <w:ind w:firstLineChars="0"/>
        <w:jc w:val="left"/>
        <w:rPr>
          <w:rFonts w:ascii="宋体" w:hAnsi="宋体"/>
          <w:color w:val="auto"/>
          <w:sz w:val="24"/>
          <w:highlight w:val="none"/>
        </w:rPr>
      </w:pPr>
      <w:r>
        <w:rPr>
          <w:rFonts w:hint="eastAsia" w:ascii="宋体" w:hAnsi="宋体"/>
          <w:color w:val="auto"/>
          <w:sz w:val="24"/>
          <w:highlight w:val="none"/>
        </w:rPr>
        <w:t>本声明函如有虚假或与事实不符的，作</w:t>
      </w:r>
      <w:r>
        <w:rPr>
          <w:rFonts w:hint="eastAsia" w:ascii="宋体" w:hAnsi="宋体"/>
          <w:b/>
          <w:color w:val="auto"/>
          <w:sz w:val="24"/>
          <w:highlight w:val="none"/>
        </w:rPr>
        <w:t>无效投标</w:t>
      </w:r>
      <w:r>
        <w:rPr>
          <w:rFonts w:hint="eastAsia" w:ascii="宋体" w:hAnsi="宋体"/>
          <w:color w:val="auto"/>
          <w:sz w:val="24"/>
          <w:highlight w:val="none"/>
        </w:rPr>
        <w:t>处理。</w:t>
      </w:r>
    </w:p>
    <w:p>
      <w:pPr>
        <w:tabs>
          <w:tab w:val="left" w:pos="426"/>
        </w:tabs>
        <w:snapToGrid w:val="0"/>
        <w:spacing w:line="360" w:lineRule="auto"/>
        <w:rPr>
          <w:rFonts w:ascii="宋体" w:hAnsi="宋体"/>
          <w:bCs/>
          <w:color w:val="auto"/>
          <w:sz w:val="24"/>
          <w:highlight w:val="none"/>
        </w:rPr>
      </w:pPr>
    </w:p>
    <w:p>
      <w:pPr>
        <w:snapToGrid w:val="0"/>
        <w:spacing w:line="360" w:lineRule="auto"/>
        <w:ind w:firstLine="420"/>
        <w:jc w:val="left"/>
        <w:rPr>
          <w:color w:val="auto"/>
          <w:sz w:val="24"/>
          <w:highlight w:val="none"/>
        </w:rPr>
      </w:pPr>
      <w:r>
        <w:rPr>
          <w:rFonts w:hint="eastAsia"/>
          <w:color w:val="auto"/>
          <w:sz w:val="24"/>
          <w:highlight w:val="none"/>
        </w:rPr>
        <w:t>投标人名称（单位盖公章）：</w:t>
      </w:r>
    </w:p>
    <w:p>
      <w:pPr>
        <w:snapToGrid w:val="0"/>
        <w:spacing w:line="360" w:lineRule="auto"/>
        <w:ind w:firstLine="420"/>
        <w:jc w:val="left"/>
        <w:rPr>
          <w:color w:val="auto"/>
          <w:sz w:val="24"/>
          <w:highlight w:val="none"/>
        </w:rPr>
      </w:pPr>
      <w:r>
        <w:rPr>
          <w:rFonts w:hint="eastAsia"/>
          <w:color w:val="auto"/>
          <w:sz w:val="24"/>
          <w:highlight w:val="none"/>
        </w:rPr>
        <w:t>单位地址：</w:t>
      </w:r>
    </w:p>
    <w:p>
      <w:pPr>
        <w:snapToGrid w:val="0"/>
        <w:spacing w:line="360" w:lineRule="auto"/>
        <w:ind w:firstLine="420"/>
        <w:jc w:val="left"/>
        <w:rPr>
          <w:color w:val="auto"/>
          <w:sz w:val="24"/>
          <w:highlight w:val="none"/>
        </w:rPr>
      </w:pPr>
      <w:r>
        <w:rPr>
          <w:rFonts w:hint="eastAsia"/>
          <w:color w:val="auto"/>
          <w:sz w:val="24"/>
          <w:highlight w:val="none"/>
        </w:rPr>
        <w:t>日期：</w:t>
      </w:r>
      <w:r>
        <w:rPr>
          <w:color w:val="auto"/>
          <w:sz w:val="24"/>
          <w:highlight w:val="none"/>
        </w:rPr>
        <w:br w:type="page"/>
      </w:r>
    </w:p>
    <w:p>
      <w:pPr>
        <w:tabs>
          <w:tab w:val="left" w:pos="426"/>
        </w:tabs>
        <w:autoSpaceDE w:val="0"/>
        <w:autoSpaceDN w:val="0"/>
        <w:spacing w:line="360" w:lineRule="auto"/>
        <w:jc w:val="center"/>
        <w:outlineLvl w:val="3"/>
        <w:rPr>
          <w:rFonts w:ascii="黑体" w:hAnsi="黑体" w:eastAsia="黑体"/>
          <w:color w:val="auto"/>
          <w:sz w:val="32"/>
          <w:szCs w:val="32"/>
          <w:highlight w:val="none"/>
        </w:rPr>
      </w:pPr>
      <w:r>
        <w:rPr>
          <w:rFonts w:hint="eastAsia" w:ascii="黑体" w:hAnsi="黑体" w:eastAsia="黑体"/>
          <w:color w:val="auto"/>
          <w:sz w:val="32"/>
          <w:szCs w:val="32"/>
          <w:highlight w:val="none"/>
        </w:rPr>
        <w:t>主要股东或出资人信息</w:t>
      </w:r>
    </w:p>
    <w:p>
      <w:pPr>
        <w:tabs>
          <w:tab w:val="left" w:pos="7740"/>
        </w:tabs>
        <w:snapToGrid w:val="0"/>
        <w:spacing w:line="360" w:lineRule="auto"/>
        <w:rPr>
          <w:rFonts w:hint="eastAsia" w:ascii="宋体" w:hAnsi="宋体"/>
          <w:color w:val="auto"/>
          <w:sz w:val="24"/>
          <w:highlight w:val="none"/>
        </w:rPr>
      </w:pPr>
      <w:r>
        <w:rPr>
          <w:rFonts w:hint="eastAsia" w:ascii="宋体" w:hAnsi="宋体"/>
          <w:color w:val="auto"/>
          <w:sz w:val="24"/>
          <w:highlight w:val="none"/>
        </w:rPr>
        <w:t>项目名称：2020-2021年食品安全监督抽检项目</w:t>
      </w:r>
    </w:p>
    <w:p>
      <w:pPr>
        <w:tabs>
          <w:tab w:val="left" w:pos="7740"/>
        </w:tabs>
        <w:snapToGrid w:val="0"/>
        <w:spacing w:line="360" w:lineRule="auto"/>
        <w:rPr>
          <w:rFonts w:hint="eastAsia" w:ascii="宋体" w:hAnsi="宋体" w:eastAsia="宋体"/>
          <w:color w:val="auto"/>
          <w:sz w:val="24"/>
          <w:highlight w:val="none"/>
          <w:lang w:eastAsia="zh-CN"/>
        </w:rPr>
      </w:pPr>
      <w:r>
        <w:rPr>
          <w:rFonts w:hint="eastAsia" w:ascii="宋体" w:hAnsi="宋体"/>
          <w:color w:val="auto"/>
          <w:sz w:val="24"/>
          <w:highlight w:val="none"/>
          <w:lang w:eastAsia="zh-CN"/>
        </w:rPr>
        <w:t>包组号：</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513"/>
        <w:gridCol w:w="2411"/>
        <w:gridCol w:w="1849"/>
        <w:gridCol w:w="1404"/>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586" w:type="pct"/>
            <w:tcBorders>
              <w:top w:val="single" w:color="auto" w:sz="12" w:space="0"/>
              <w:left w:val="single" w:color="auto" w:sz="12" w:space="0"/>
            </w:tcBorders>
            <w:vAlign w:val="center"/>
          </w:tcPr>
          <w:p>
            <w:pPr>
              <w:snapToGrid w:val="0"/>
              <w:jc w:val="center"/>
              <w:rPr>
                <w:rFonts w:ascii="宋体" w:hAnsi="宋体" w:cs="Arial"/>
                <w:color w:val="auto"/>
                <w:sz w:val="24"/>
                <w:highlight w:val="none"/>
              </w:rPr>
            </w:pPr>
            <w:r>
              <w:rPr>
                <w:rFonts w:hint="eastAsia" w:ascii="宋体" w:hAnsi="宋体" w:cs="Arial"/>
                <w:color w:val="auto"/>
                <w:sz w:val="24"/>
                <w:highlight w:val="none"/>
              </w:rPr>
              <w:t>序号</w:t>
            </w:r>
          </w:p>
        </w:tc>
        <w:tc>
          <w:tcPr>
            <w:tcW w:w="805" w:type="pct"/>
            <w:tcBorders>
              <w:top w:val="single" w:color="auto" w:sz="12" w:space="0"/>
            </w:tcBorders>
            <w:vAlign w:val="center"/>
          </w:tcPr>
          <w:p>
            <w:pPr>
              <w:snapToGrid w:val="0"/>
              <w:jc w:val="center"/>
              <w:rPr>
                <w:rFonts w:ascii="宋体" w:hAnsi="宋体" w:cs="Arial"/>
                <w:color w:val="auto"/>
                <w:sz w:val="24"/>
                <w:highlight w:val="none"/>
              </w:rPr>
            </w:pPr>
            <w:r>
              <w:rPr>
                <w:rFonts w:hint="eastAsia" w:ascii="宋体" w:hAnsi="宋体" w:cs="Arial"/>
                <w:color w:val="auto"/>
                <w:sz w:val="24"/>
                <w:highlight w:val="none"/>
              </w:rPr>
              <w:t>名称</w:t>
            </w:r>
          </w:p>
          <w:p>
            <w:pPr>
              <w:snapToGrid w:val="0"/>
              <w:jc w:val="center"/>
              <w:rPr>
                <w:rFonts w:ascii="宋体" w:hAnsi="宋体" w:cs="Arial"/>
                <w:color w:val="auto"/>
                <w:sz w:val="24"/>
                <w:highlight w:val="none"/>
              </w:rPr>
            </w:pPr>
            <w:r>
              <w:rPr>
                <w:rFonts w:hint="eastAsia" w:ascii="宋体" w:hAnsi="宋体" w:cs="Arial"/>
                <w:color w:val="auto"/>
                <w:sz w:val="24"/>
                <w:highlight w:val="none"/>
              </w:rPr>
              <w:t>（姓名）</w:t>
            </w:r>
          </w:p>
        </w:tc>
        <w:tc>
          <w:tcPr>
            <w:tcW w:w="1283" w:type="pct"/>
            <w:tcBorders>
              <w:top w:val="single" w:color="auto" w:sz="12" w:space="0"/>
              <w:right w:val="single" w:color="auto" w:sz="6" w:space="0"/>
            </w:tcBorders>
            <w:vAlign w:val="center"/>
          </w:tcPr>
          <w:p>
            <w:pPr>
              <w:snapToGrid w:val="0"/>
              <w:jc w:val="center"/>
              <w:rPr>
                <w:rFonts w:ascii="宋体" w:hAnsi="宋体" w:cs="Arial"/>
                <w:color w:val="auto"/>
                <w:sz w:val="24"/>
                <w:highlight w:val="none"/>
              </w:rPr>
            </w:pPr>
            <w:r>
              <w:rPr>
                <w:rFonts w:hint="eastAsia" w:ascii="宋体" w:hAnsi="宋体" w:cs="Arial"/>
                <w:color w:val="auto"/>
                <w:sz w:val="24"/>
                <w:highlight w:val="none"/>
              </w:rPr>
              <w:t>统一社会信息用代码（身份证号）</w:t>
            </w:r>
          </w:p>
        </w:tc>
        <w:tc>
          <w:tcPr>
            <w:tcW w:w="984" w:type="pct"/>
            <w:tcBorders>
              <w:top w:val="single" w:color="auto" w:sz="12" w:space="0"/>
              <w:left w:val="single" w:color="auto" w:sz="6" w:space="0"/>
            </w:tcBorders>
            <w:vAlign w:val="center"/>
          </w:tcPr>
          <w:p>
            <w:pPr>
              <w:snapToGrid w:val="0"/>
              <w:jc w:val="center"/>
              <w:rPr>
                <w:rFonts w:ascii="宋体" w:hAnsi="宋体" w:cs="Arial"/>
                <w:color w:val="auto"/>
                <w:sz w:val="24"/>
                <w:highlight w:val="none"/>
              </w:rPr>
            </w:pPr>
            <w:r>
              <w:rPr>
                <w:rFonts w:hint="eastAsia" w:ascii="宋体" w:hAnsi="宋体" w:cs="Arial"/>
                <w:color w:val="auto"/>
                <w:sz w:val="24"/>
                <w:highlight w:val="none"/>
              </w:rPr>
              <w:t>出资额</w:t>
            </w:r>
          </w:p>
          <w:p>
            <w:pPr>
              <w:snapToGrid w:val="0"/>
              <w:jc w:val="center"/>
              <w:rPr>
                <w:rFonts w:ascii="宋体" w:hAnsi="宋体" w:cs="Arial"/>
                <w:color w:val="auto"/>
                <w:sz w:val="24"/>
                <w:highlight w:val="none"/>
              </w:rPr>
            </w:pPr>
            <w:r>
              <w:rPr>
                <w:rFonts w:hint="eastAsia" w:ascii="宋体" w:hAnsi="宋体" w:cs="Arial"/>
                <w:color w:val="auto"/>
                <w:sz w:val="24"/>
                <w:highlight w:val="none"/>
              </w:rPr>
              <w:t>（人民币 万元）</w:t>
            </w:r>
          </w:p>
        </w:tc>
        <w:tc>
          <w:tcPr>
            <w:tcW w:w="747" w:type="pct"/>
            <w:tcBorders>
              <w:top w:val="single" w:color="auto" w:sz="12" w:space="0"/>
            </w:tcBorders>
            <w:vAlign w:val="center"/>
          </w:tcPr>
          <w:p>
            <w:pPr>
              <w:snapToGrid w:val="0"/>
              <w:jc w:val="center"/>
              <w:rPr>
                <w:rFonts w:ascii="宋体" w:hAnsi="宋体" w:cs="Arial"/>
                <w:color w:val="auto"/>
                <w:sz w:val="24"/>
                <w:highlight w:val="none"/>
              </w:rPr>
            </w:pPr>
            <w:r>
              <w:rPr>
                <w:rFonts w:hint="eastAsia" w:ascii="宋体" w:hAnsi="宋体" w:cs="Arial"/>
                <w:color w:val="auto"/>
                <w:sz w:val="24"/>
                <w:highlight w:val="none"/>
              </w:rPr>
              <w:t>出资方式</w:t>
            </w:r>
          </w:p>
        </w:tc>
        <w:tc>
          <w:tcPr>
            <w:tcW w:w="595" w:type="pct"/>
            <w:tcBorders>
              <w:top w:val="single" w:color="auto" w:sz="12" w:space="0"/>
              <w:left w:val="single" w:color="auto" w:sz="6" w:space="0"/>
              <w:right w:val="single" w:color="auto" w:sz="12" w:space="0"/>
            </w:tcBorders>
            <w:vAlign w:val="center"/>
          </w:tcPr>
          <w:p>
            <w:pPr>
              <w:snapToGrid w:val="0"/>
              <w:jc w:val="center"/>
              <w:rPr>
                <w:rFonts w:ascii="宋体" w:hAnsi="宋体" w:cs="Arial"/>
                <w:color w:val="auto"/>
                <w:sz w:val="24"/>
                <w:highlight w:val="none"/>
              </w:rPr>
            </w:pPr>
            <w:r>
              <w:rPr>
                <w:rFonts w:hint="eastAsia" w:ascii="宋体" w:hAnsi="宋体" w:cs="Arial"/>
                <w:color w:val="auto"/>
                <w:sz w:val="24"/>
                <w:highlight w:val="none"/>
              </w:rPr>
              <w:t>占全部股份比例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586" w:type="pct"/>
            <w:tcBorders>
              <w:left w:val="single" w:color="auto" w:sz="12" w:space="0"/>
            </w:tcBorders>
          </w:tcPr>
          <w:p>
            <w:pPr>
              <w:jc w:val="center"/>
              <w:rPr>
                <w:rFonts w:ascii="宋体" w:hAnsi="宋体" w:cs="Arial"/>
                <w:color w:val="auto"/>
                <w:sz w:val="24"/>
                <w:highlight w:val="none"/>
              </w:rPr>
            </w:pPr>
            <w:r>
              <w:rPr>
                <w:rFonts w:hint="eastAsia" w:ascii="宋体" w:hAnsi="宋体" w:cs="Arial"/>
                <w:color w:val="auto"/>
                <w:sz w:val="24"/>
                <w:highlight w:val="none"/>
              </w:rPr>
              <w:t>1</w:t>
            </w:r>
          </w:p>
        </w:tc>
        <w:tc>
          <w:tcPr>
            <w:tcW w:w="805" w:type="pct"/>
          </w:tcPr>
          <w:p>
            <w:pPr>
              <w:jc w:val="center"/>
              <w:rPr>
                <w:rFonts w:ascii="宋体" w:hAnsi="宋体" w:cs="Arial"/>
                <w:color w:val="auto"/>
                <w:sz w:val="24"/>
                <w:highlight w:val="none"/>
              </w:rPr>
            </w:pPr>
          </w:p>
        </w:tc>
        <w:tc>
          <w:tcPr>
            <w:tcW w:w="1283" w:type="pct"/>
            <w:tcBorders>
              <w:right w:val="single" w:color="auto" w:sz="6" w:space="0"/>
            </w:tcBorders>
          </w:tcPr>
          <w:p>
            <w:pPr>
              <w:jc w:val="center"/>
              <w:rPr>
                <w:rFonts w:ascii="宋体" w:hAnsi="宋体" w:cs="Arial"/>
                <w:color w:val="auto"/>
                <w:sz w:val="24"/>
                <w:highlight w:val="none"/>
              </w:rPr>
            </w:pPr>
          </w:p>
        </w:tc>
        <w:tc>
          <w:tcPr>
            <w:tcW w:w="984" w:type="pct"/>
            <w:tcBorders>
              <w:left w:val="single" w:color="auto" w:sz="6" w:space="0"/>
            </w:tcBorders>
          </w:tcPr>
          <w:p>
            <w:pPr>
              <w:jc w:val="center"/>
              <w:rPr>
                <w:rFonts w:ascii="宋体" w:hAnsi="宋体" w:cs="Arial"/>
                <w:color w:val="auto"/>
                <w:sz w:val="24"/>
                <w:highlight w:val="none"/>
              </w:rPr>
            </w:pPr>
          </w:p>
        </w:tc>
        <w:tc>
          <w:tcPr>
            <w:tcW w:w="747" w:type="pct"/>
          </w:tcPr>
          <w:p>
            <w:pPr>
              <w:jc w:val="center"/>
              <w:rPr>
                <w:rFonts w:ascii="宋体" w:hAnsi="宋体" w:cs="Arial"/>
                <w:color w:val="auto"/>
                <w:sz w:val="24"/>
                <w:highlight w:val="none"/>
              </w:rPr>
            </w:pPr>
          </w:p>
        </w:tc>
        <w:tc>
          <w:tcPr>
            <w:tcW w:w="595" w:type="pct"/>
            <w:tcBorders>
              <w:left w:val="single" w:color="auto" w:sz="6" w:space="0"/>
              <w:right w:val="single" w:color="auto" w:sz="12" w:space="0"/>
            </w:tcBorders>
          </w:tcPr>
          <w:p>
            <w:pPr>
              <w:jc w:val="center"/>
              <w:rPr>
                <w:rFonts w:ascii="宋体" w:hAnsi="宋体" w:cs="Arial"/>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586" w:type="pct"/>
            <w:tcBorders>
              <w:left w:val="single" w:color="auto" w:sz="12" w:space="0"/>
            </w:tcBorders>
          </w:tcPr>
          <w:p>
            <w:pPr>
              <w:jc w:val="center"/>
              <w:rPr>
                <w:rFonts w:ascii="宋体" w:hAnsi="宋体" w:cs="Arial"/>
                <w:color w:val="auto"/>
                <w:sz w:val="24"/>
                <w:highlight w:val="none"/>
              </w:rPr>
            </w:pPr>
            <w:r>
              <w:rPr>
                <w:rFonts w:hint="eastAsia" w:ascii="宋体" w:hAnsi="宋体" w:cs="Arial"/>
                <w:color w:val="auto"/>
                <w:sz w:val="24"/>
                <w:highlight w:val="none"/>
              </w:rPr>
              <w:t>2</w:t>
            </w:r>
          </w:p>
        </w:tc>
        <w:tc>
          <w:tcPr>
            <w:tcW w:w="805" w:type="pct"/>
          </w:tcPr>
          <w:p>
            <w:pPr>
              <w:jc w:val="center"/>
              <w:rPr>
                <w:rFonts w:ascii="宋体" w:hAnsi="宋体" w:cs="Arial"/>
                <w:color w:val="auto"/>
                <w:sz w:val="24"/>
                <w:highlight w:val="none"/>
              </w:rPr>
            </w:pPr>
          </w:p>
        </w:tc>
        <w:tc>
          <w:tcPr>
            <w:tcW w:w="1283" w:type="pct"/>
            <w:tcBorders>
              <w:right w:val="single" w:color="auto" w:sz="6" w:space="0"/>
            </w:tcBorders>
          </w:tcPr>
          <w:p>
            <w:pPr>
              <w:jc w:val="center"/>
              <w:rPr>
                <w:rFonts w:ascii="宋体" w:hAnsi="宋体" w:cs="Arial"/>
                <w:color w:val="auto"/>
                <w:sz w:val="24"/>
                <w:highlight w:val="none"/>
              </w:rPr>
            </w:pPr>
          </w:p>
        </w:tc>
        <w:tc>
          <w:tcPr>
            <w:tcW w:w="984" w:type="pct"/>
            <w:tcBorders>
              <w:left w:val="single" w:color="auto" w:sz="6" w:space="0"/>
            </w:tcBorders>
          </w:tcPr>
          <w:p>
            <w:pPr>
              <w:jc w:val="center"/>
              <w:rPr>
                <w:rFonts w:ascii="宋体" w:hAnsi="宋体" w:cs="Arial"/>
                <w:color w:val="auto"/>
                <w:sz w:val="24"/>
                <w:highlight w:val="none"/>
              </w:rPr>
            </w:pPr>
          </w:p>
        </w:tc>
        <w:tc>
          <w:tcPr>
            <w:tcW w:w="747" w:type="pct"/>
          </w:tcPr>
          <w:p>
            <w:pPr>
              <w:jc w:val="center"/>
              <w:rPr>
                <w:rFonts w:ascii="宋体" w:hAnsi="宋体" w:cs="Arial"/>
                <w:color w:val="auto"/>
                <w:sz w:val="24"/>
                <w:highlight w:val="none"/>
              </w:rPr>
            </w:pPr>
          </w:p>
        </w:tc>
        <w:tc>
          <w:tcPr>
            <w:tcW w:w="595" w:type="pct"/>
            <w:tcBorders>
              <w:left w:val="single" w:color="auto" w:sz="6" w:space="0"/>
              <w:right w:val="single" w:color="auto" w:sz="12" w:space="0"/>
            </w:tcBorders>
          </w:tcPr>
          <w:p>
            <w:pPr>
              <w:jc w:val="center"/>
              <w:rPr>
                <w:rFonts w:ascii="宋体" w:hAnsi="宋体" w:cs="Arial"/>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586" w:type="pct"/>
            <w:tcBorders>
              <w:left w:val="single" w:color="auto" w:sz="12" w:space="0"/>
              <w:bottom w:val="single" w:color="auto" w:sz="12" w:space="0"/>
            </w:tcBorders>
          </w:tcPr>
          <w:p>
            <w:pPr>
              <w:jc w:val="center"/>
              <w:rPr>
                <w:rFonts w:ascii="宋体" w:hAnsi="宋体" w:cs="Arial"/>
                <w:color w:val="auto"/>
                <w:sz w:val="24"/>
                <w:highlight w:val="none"/>
              </w:rPr>
            </w:pPr>
            <w:r>
              <w:rPr>
                <w:rFonts w:hint="eastAsia" w:ascii="宋体" w:hAnsi="宋体" w:cs="Arial"/>
                <w:color w:val="auto"/>
                <w:sz w:val="24"/>
                <w:highlight w:val="none"/>
              </w:rPr>
              <w:t>…</w:t>
            </w:r>
          </w:p>
        </w:tc>
        <w:tc>
          <w:tcPr>
            <w:tcW w:w="805" w:type="pct"/>
            <w:tcBorders>
              <w:bottom w:val="single" w:color="auto" w:sz="12" w:space="0"/>
            </w:tcBorders>
          </w:tcPr>
          <w:p>
            <w:pPr>
              <w:jc w:val="center"/>
              <w:rPr>
                <w:rFonts w:ascii="宋体" w:hAnsi="宋体" w:cs="Arial"/>
                <w:color w:val="auto"/>
                <w:sz w:val="24"/>
                <w:highlight w:val="none"/>
              </w:rPr>
            </w:pPr>
          </w:p>
        </w:tc>
        <w:tc>
          <w:tcPr>
            <w:tcW w:w="1283" w:type="pct"/>
            <w:tcBorders>
              <w:bottom w:val="single" w:color="auto" w:sz="12" w:space="0"/>
              <w:right w:val="single" w:color="auto" w:sz="6" w:space="0"/>
            </w:tcBorders>
          </w:tcPr>
          <w:p>
            <w:pPr>
              <w:jc w:val="center"/>
              <w:rPr>
                <w:rFonts w:ascii="宋体" w:hAnsi="宋体" w:cs="Arial"/>
                <w:color w:val="auto"/>
                <w:sz w:val="24"/>
                <w:highlight w:val="none"/>
              </w:rPr>
            </w:pPr>
          </w:p>
        </w:tc>
        <w:tc>
          <w:tcPr>
            <w:tcW w:w="984" w:type="pct"/>
            <w:tcBorders>
              <w:left w:val="single" w:color="auto" w:sz="6" w:space="0"/>
              <w:bottom w:val="single" w:color="auto" w:sz="12" w:space="0"/>
            </w:tcBorders>
          </w:tcPr>
          <w:p>
            <w:pPr>
              <w:jc w:val="center"/>
              <w:rPr>
                <w:rFonts w:ascii="宋体" w:hAnsi="宋体" w:cs="Arial"/>
                <w:color w:val="auto"/>
                <w:sz w:val="24"/>
                <w:highlight w:val="none"/>
              </w:rPr>
            </w:pPr>
          </w:p>
        </w:tc>
        <w:tc>
          <w:tcPr>
            <w:tcW w:w="747" w:type="pct"/>
            <w:tcBorders>
              <w:bottom w:val="single" w:color="auto" w:sz="12" w:space="0"/>
            </w:tcBorders>
          </w:tcPr>
          <w:p>
            <w:pPr>
              <w:jc w:val="center"/>
              <w:rPr>
                <w:rFonts w:ascii="宋体" w:hAnsi="宋体" w:cs="Arial"/>
                <w:color w:val="auto"/>
                <w:sz w:val="24"/>
                <w:highlight w:val="none"/>
              </w:rPr>
            </w:pPr>
          </w:p>
        </w:tc>
        <w:tc>
          <w:tcPr>
            <w:tcW w:w="595" w:type="pct"/>
            <w:tcBorders>
              <w:left w:val="single" w:color="auto" w:sz="6" w:space="0"/>
              <w:bottom w:val="single" w:color="auto" w:sz="12" w:space="0"/>
              <w:right w:val="single" w:color="auto" w:sz="12" w:space="0"/>
            </w:tcBorders>
          </w:tcPr>
          <w:p>
            <w:pPr>
              <w:jc w:val="center"/>
              <w:rPr>
                <w:rFonts w:ascii="宋体" w:hAnsi="宋体" w:cs="Arial"/>
                <w:color w:val="auto"/>
                <w:sz w:val="24"/>
                <w:highlight w:val="none"/>
              </w:rPr>
            </w:pPr>
          </w:p>
        </w:tc>
      </w:tr>
    </w:tbl>
    <w:p>
      <w:pPr>
        <w:spacing w:line="360" w:lineRule="auto"/>
        <w:ind w:firstLine="354" w:firstLineChars="147"/>
        <w:rPr>
          <w:rFonts w:ascii="宋体" w:hAnsi="宋体" w:cs="Arial"/>
          <w:b/>
          <w:color w:val="auto"/>
          <w:sz w:val="24"/>
          <w:highlight w:val="none"/>
        </w:rPr>
      </w:pPr>
      <w:r>
        <w:rPr>
          <w:rFonts w:hint="eastAsia" w:ascii="宋体" w:hAnsi="宋体" w:cs="Arial"/>
          <w:b/>
          <w:color w:val="auto"/>
          <w:sz w:val="24"/>
          <w:highlight w:val="none"/>
        </w:rPr>
        <w:t>我方承诺，以上信息真实可靠；如填报的股东出资额、出资比例等与实际不符，且属于虚假应标情形，视为放弃中标资格。</w:t>
      </w:r>
    </w:p>
    <w:p>
      <w:pPr>
        <w:spacing w:line="360" w:lineRule="auto"/>
        <w:rPr>
          <w:rFonts w:ascii="宋体" w:hAnsi="宋体" w:cs="Arial"/>
          <w:color w:val="auto"/>
          <w:sz w:val="24"/>
          <w:highlight w:val="none"/>
        </w:rPr>
      </w:pPr>
      <w:r>
        <w:rPr>
          <w:rFonts w:hint="eastAsia" w:ascii="宋体" w:hAnsi="宋体" w:cs="Arial"/>
          <w:color w:val="auto"/>
          <w:sz w:val="24"/>
          <w:highlight w:val="none"/>
        </w:rPr>
        <w:t>备注：</w:t>
      </w:r>
    </w:p>
    <w:p>
      <w:pPr>
        <w:pStyle w:val="24"/>
        <w:numPr>
          <w:ilvl w:val="0"/>
          <w:numId w:val="108"/>
        </w:numPr>
        <w:spacing w:line="360" w:lineRule="auto"/>
        <w:ind w:firstLineChars="0"/>
        <w:rPr>
          <w:rFonts w:ascii="宋体" w:hAnsi="宋体" w:cs="Arial"/>
          <w:color w:val="auto"/>
          <w:sz w:val="24"/>
          <w:highlight w:val="none"/>
        </w:rPr>
      </w:pPr>
      <w:r>
        <w:rPr>
          <w:rFonts w:hint="eastAsia" w:ascii="宋体" w:hAnsi="宋体" w:cs="Arial"/>
          <w:color w:val="auto"/>
          <w:sz w:val="24"/>
          <w:highlight w:val="none"/>
        </w:rPr>
        <w:t>主要股东或出资人为法人的，填写法人全称及统一社会信息用代码（尚未办理三证合一的填写组织机构代码）；为自然人的，填写自然人姓名和身份证号。</w:t>
      </w:r>
    </w:p>
    <w:p>
      <w:pPr>
        <w:pStyle w:val="24"/>
        <w:numPr>
          <w:ilvl w:val="0"/>
          <w:numId w:val="108"/>
        </w:numPr>
        <w:spacing w:line="360" w:lineRule="auto"/>
        <w:ind w:firstLineChars="0"/>
        <w:rPr>
          <w:rFonts w:ascii="宋体" w:hAnsi="宋体" w:cs="Arial"/>
          <w:color w:val="auto"/>
          <w:sz w:val="24"/>
          <w:highlight w:val="none"/>
        </w:rPr>
      </w:pPr>
      <w:r>
        <w:rPr>
          <w:rFonts w:hint="eastAsia" w:ascii="宋体" w:hAnsi="宋体" w:cs="Arial"/>
          <w:color w:val="auto"/>
          <w:sz w:val="24"/>
          <w:highlight w:val="none"/>
        </w:rPr>
        <w:t>出资方式填写：货币、实物、工艺产权和非专利技术、土地使用权等。</w:t>
      </w:r>
    </w:p>
    <w:p>
      <w:pPr>
        <w:pStyle w:val="24"/>
        <w:numPr>
          <w:ilvl w:val="0"/>
          <w:numId w:val="108"/>
        </w:numPr>
        <w:spacing w:line="360" w:lineRule="auto"/>
        <w:ind w:firstLineChars="0"/>
        <w:rPr>
          <w:rFonts w:ascii="宋体" w:hAnsi="宋体" w:cs="Arial"/>
          <w:color w:val="auto"/>
          <w:sz w:val="24"/>
          <w:highlight w:val="none"/>
        </w:rPr>
      </w:pPr>
      <w:r>
        <w:rPr>
          <w:rFonts w:hint="eastAsia" w:ascii="宋体" w:hAnsi="宋体" w:cs="Arial"/>
          <w:color w:val="auto"/>
          <w:sz w:val="24"/>
          <w:highlight w:val="none"/>
        </w:rPr>
        <w:t>投标单位应按照占全部股份比例从大到小依次逐个股东填写，股东数量多于10个的，填写前10名，不足10个全部填写。</w:t>
      </w:r>
    </w:p>
    <w:p>
      <w:pPr>
        <w:snapToGrid w:val="0"/>
        <w:spacing w:line="360" w:lineRule="auto"/>
        <w:jc w:val="left"/>
        <w:rPr>
          <w:color w:val="auto"/>
          <w:sz w:val="24"/>
          <w:highlight w:val="none"/>
        </w:rPr>
      </w:pPr>
    </w:p>
    <w:p>
      <w:pPr>
        <w:snapToGrid w:val="0"/>
        <w:spacing w:line="360" w:lineRule="auto"/>
        <w:jc w:val="left"/>
        <w:rPr>
          <w:color w:val="auto"/>
          <w:sz w:val="24"/>
          <w:highlight w:val="none"/>
        </w:rPr>
      </w:pPr>
      <w:r>
        <w:rPr>
          <w:rFonts w:hint="eastAsia"/>
          <w:color w:val="auto"/>
          <w:sz w:val="24"/>
          <w:highlight w:val="none"/>
        </w:rPr>
        <w:t>投标人名称（单位盖公章）：</w:t>
      </w:r>
    </w:p>
    <w:p>
      <w:pPr>
        <w:snapToGrid w:val="0"/>
        <w:spacing w:line="360" w:lineRule="auto"/>
        <w:jc w:val="left"/>
        <w:rPr>
          <w:color w:val="auto"/>
          <w:sz w:val="24"/>
          <w:highlight w:val="none"/>
        </w:rPr>
      </w:pPr>
      <w:r>
        <w:rPr>
          <w:rFonts w:hint="eastAsia"/>
          <w:color w:val="auto"/>
          <w:sz w:val="24"/>
          <w:highlight w:val="none"/>
        </w:rPr>
        <w:t>日期：</w:t>
      </w:r>
    </w:p>
    <w:p>
      <w:pPr>
        <w:widowControl/>
        <w:jc w:val="left"/>
        <w:rPr>
          <w:rFonts w:ascii="黑体" w:hAnsi="黑体" w:eastAsia="黑体"/>
          <w:color w:val="auto"/>
          <w:sz w:val="24"/>
          <w:highlight w:val="none"/>
        </w:rPr>
      </w:pPr>
      <w:r>
        <w:rPr>
          <w:rFonts w:ascii="黑体" w:hAnsi="黑体" w:eastAsia="黑体"/>
          <w:color w:val="auto"/>
          <w:sz w:val="24"/>
          <w:highlight w:val="none"/>
        </w:rPr>
        <w:br w:type="page"/>
      </w:r>
    </w:p>
    <w:p>
      <w:pPr>
        <w:tabs>
          <w:tab w:val="left" w:pos="426"/>
        </w:tabs>
        <w:autoSpaceDE w:val="0"/>
        <w:autoSpaceDN w:val="0"/>
        <w:spacing w:line="360" w:lineRule="auto"/>
        <w:jc w:val="center"/>
        <w:outlineLvl w:val="3"/>
        <w:rPr>
          <w:rFonts w:ascii="黑体" w:hAnsi="黑体" w:eastAsia="黑体"/>
          <w:color w:val="auto"/>
          <w:sz w:val="32"/>
          <w:szCs w:val="32"/>
          <w:highlight w:val="none"/>
        </w:rPr>
      </w:pPr>
      <w:r>
        <w:rPr>
          <w:rFonts w:hint="eastAsia" w:ascii="黑体" w:hAnsi="黑体" w:eastAsia="黑体"/>
          <w:color w:val="auto"/>
          <w:sz w:val="32"/>
          <w:szCs w:val="32"/>
          <w:highlight w:val="none"/>
        </w:rPr>
        <w:t>投 标 函</w:t>
      </w:r>
      <w:bookmarkEnd w:id="69"/>
      <w:bookmarkEnd w:id="70"/>
      <w:bookmarkEnd w:id="71"/>
    </w:p>
    <w:p>
      <w:pPr>
        <w:spacing w:line="360" w:lineRule="auto"/>
        <w:rPr>
          <w:rFonts w:ascii="宋体" w:hAnsi="宋体"/>
          <w:b/>
          <w:color w:val="auto"/>
          <w:sz w:val="24"/>
          <w:highlight w:val="none"/>
        </w:rPr>
      </w:pPr>
      <w:r>
        <w:rPr>
          <w:rFonts w:hint="eastAsia" w:ascii="宋体" w:hAnsi="宋体"/>
          <w:b/>
          <w:color w:val="auto"/>
          <w:sz w:val="24"/>
          <w:highlight w:val="none"/>
        </w:rPr>
        <w:t>广东采联采购科技有限公司</w:t>
      </w:r>
    </w:p>
    <w:p>
      <w:pPr>
        <w:spacing w:line="360" w:lineRule="auto"/>
        <w:ind w:left="100" w:leftChars="50" w:firstLine="427" w:firstLineChars="178"/>
        <w:rPr>
          <w:rFonts w:ascii="宋体" w:hAnsi="宋体"/>
          <w:color w:val="auto"/>
          <w:sz w:val="24"/>
          <w:highlight w:val="none"/>
        </w:rPr>
      </w:pPr>
      <w:r>
        <w:rPr>
          <w:rFonts w:hint="eastAsia" w:ascii="宋体" w:hAnsi="宋体"/>
          <w:color w:val="auto"/>
          <w:sz w:val="24"/>
          <w:highlight w:val="none"/>
        </w:rPr>
        <w:t>我方确认收到贵方</w:t>
      </w:r>
      <w:r>
        <w:rPr>
          <w:rFonts w:hint="eastAsia" w:ascii="宋体" w:hAnsi="宋体"/>
          <w:color w:val="auto"/>
          <w:kern w:val="28"/>
          <w:sz w:val="24"/>
          <w:highlight w:val="none"/>
          <w:u w:val="single"/>
        </w:rPr>
        <w:t>2020-2021年食品安全监督抽检项目</w:t>
      </w:r>
      <w:r>
        <w:rPr>
          <w:rFonts w:hint="eastAsia" w:ascii="宋体" w:hAnsi="宋体"/>
          <w:color w:val="auto"/>
          <w:kern w:val="28"/>
          <w:sz w:val="24"/>
          <w:highlight w:val="none"/>
        </w:rPr>
        <w:t>采购</w:t>
      </w:r>
      <w:r>
        <w:rPr>
          <w:rFonts w:hint="eastAsia" w:ascii="宋体" w:hAnsi="宋体"/>
          <w:color w:val="auto"/>
          <w:sz w:val="24"/>
          <w:highlight w:val="none"/>
        </w:rPr>
        <w:t>货物及相关服务的招标文件（项目编号：kp2020-00239（CLF0120JM00ZC33）），</w:t>
      </w:r>
      <w:r>
        <w:rPr>
          <w:rFonts w:hint="eastAsia" w:ascii="宋体" w:hAnsi="宋体"/>
          <w:color w:val="auto"/>
          <w:sz w:val="24"/>
          <w:highlight w:val="none"/>
          <w:u w:val="single"/>
        </w:rPr>
        <w:t xml:space="preserve"> (投标人名称、地址)。</w:t>
      </w:r>
      <w:r>
        <w:rPr>
          <w:rFonts w:hint="eastAsia" w:ascii="宋体" w:hAnsi="宋体"/>
          <w:color w:val="auto"/>
          <w:sz w:val="24"/>
          <w:highlight w:val="none"/>
        </w:rPr>
        <w:t>作为投标人已正式授权《法定代表人授权委托书》中的授权代表或法定代表人为我方签名代表，签名代表在此声明并同意：</w:t>
      </w:r>
    </w:p>
    <w:p>
      <w:pPr>
        <w:numPr>
          <w:ilvl w:val="0"/>
          <w:numId w:val="109"/>
        </w:numPr>
        <w:tabs>
          <w:tab w:val="clear" w:pos="780"/>
        </w:tabs>
        <w:snapToGrid w:val="0"/>
        <w:spacing w:line="360" w:lineRule="auto"/>
        <w:ind w:left="426"/>
        <w:rPr>
          <w:rFonts w:ascii="宋体" w:hAnsi="宋体"/>
          <w:color w:val="auto"/>
          <w:sz w:val="24"/>
          <w:highlight w:val="none"/>
        </w:rPr>
      </w:pPr>
      <w:r>
        <w:rPr>
          <w:rFonts w:hint="eastAsia" w:ascii="宋体" w:hAnsi="宋体"/>
          <w:color w:val="auto"/>
          <w:sz w:val="24"/>
          <w:highlight w:val="none"/>
        </w:rPr>
        <w:t>我们愿意遵守采购代理机构招标文件的各项规定，自愿参加投标，并已清楚招标文件的要求及有关文件规定，并严格按照招标文件的规定履行全部责任和义务。</w:t>
      </w:r>
    </w:p>
    <w:p>
      <w:pPr>
        <w:numPr>
          <w:ilvl w:val="0"/>
          <w:numId w:val="109"/>
        </w:numPr>
        <w:tabs>
          <w:tab w:val="clear" w:pos="780"/>
        </w:tabs>
        <w:snapToGrid w:val="0"/>
        <w:spacing w:line="360" w:lineRule="auto"/>
        <w:ind w:left="426"/>
        <w:rPr>
          <w:rFonts w:ascii="宋体" w:hAnsi="宋体"/>
          <w:color w:val="auto"/>
          <w:sz w:val="24"/>
          <w:highlight w:val="none"/>
        </w:rPr>
      </w:pPr>
      <w:r>
        <w:rPr>
          <w:rFonts w:hint="eastAsia" w:ascii="宋体" w:hAnsi="宋体"/>
          <w:color w:val="auto"/>
          <w:sz w:val="24"/>
          <w:highlight w:val="none"/>
        </w:rPr>
        <w:t>我们同意本投标文件的投标有效期从提交投标文件的截止之日起</w:t>
      </w:r>
      <w:r>
        <w:rPr>
          <w:rFonts w:hint="eastAsia" w:ascii="宋体" w:hAnsi="宋体"/>
          <w:b/>
          <w:color w:val="auto"/>
          <w:sz w:val="24"/>
          <w:highlight w:val="none"/>
          <w:u w:val="single"/>
        </w:rPr>
        <w:t>90</w:t>
      </w:r>
      <w:r>
        <w:rPr>
          <w:rFonts w:hint="eastAsia" w:ascii="宋体" w:hAnsi="宋体"/>
          <w:b/>
          <w:color w:val="auto"/>
          <w:sz w:val="24"/>
          <w:highlight w:val="none"/>
        </w:rPr>
        <w:t>日历日内有效</w:t>
      </w:r>
      <w:r>
        <w:rPr>
          <w:rFonts w:hint="eastAsia" w:ascii="宋体" w:hAnsi="宋体"/>
          <w:color w:val="auto"/>
          <w:sz w:val="24"/>
          <w:highlight w:val="none"/>
        </w:rPr>
        <w:t>。</w:t>
      </w:r>
    </w:p>
    <w:p>
      <w:pPr>
        <w:numPr>
          <w:ilvl w:val="0"/>
          <w:numId w:val="109"/>
        </w:numPr>
        <w:tabs>
          <w:tab w:val="clear" w:pos="780"/>
        </w:tabs>
        <w:snapToGrid w:val="0"/>
        <w:spacing w:line="360" w:lineRule="auto"/>
        <w:ind w:left="426"/>
        <w:rPr>
          <w:rFonts w:ascii="宋体" w:hAnsi="宋体"/>
          <w:color w:val="auto"/>
          <w:sz w:val="24"/>
          <w:highlight w:val="none"/>
        </w:rPr>
      </w:pPr>
      <w:r>
        <w:rPr>
          <w:rFonts w:hint="eastAsia" w:ascii="宋体" w:hAnsi="宋体"/>
          <w:color w:val="auto"/>
          <w:sz w:val="24"/>
          <w:highlight w:val="none"/>
        </w:rPr>
        <w:t>我们承诺从本项目投标截止时间起，本投标始终有效且不予撤销已递交的投标文件。</w:t>
      </w:r>
    </w:p>
    <w:p>
      <w:pPr>
        <w:numPr>
          <w:ilvl w:val="0"/>
          <w:numId w:val="109"/>
        </w:numPr>
        <w:tabs>
          <w:tab w:val="clear" w:pos="780"/>
        </w:tabs>
        <w:snapToGrid w:val="0"/>
        <w:spacing w:line="360" w:lineRule="auto"/>
        <w:ind w:left="426"/>
        <w:rPr>
          <w:rFonts w:ascii="宋体" w:hAnsi="宋体"/>
          <w:color w:val="auto"/>
          <w:sz w:val="24"/>
          <w:highlight w:val="none"/>
        </w:rPr>
      </w:pPr>
      <w:r>
        <w:rPr>
          <w:rFonts w:hint="eastAsia" w:ascii="宋体" w:hAnsi="宋体"/>
          <w:color w:val="auto"/>
          <w:sz w:val="24"/>
          <w:highlight w:val="none"/>
        </w:rPr>
        <w:t>我们已经详细地阅读并完全明白了全部招标文件及附件，包括澄清（如有）及参考文件，我们完全理解本招标文件的要求，</w:t>
      </w:r>
      <w:r>
        <w:rPr>
          <w:rFonts w:hint="eastAsia" w:ascii="宋体"/>
          <w:color w:val="auto"/>
          <w:sz w:val="24"/>
          <w:highlight w:val="none"/>
        </w:rPr>
        <w:t>我们同意放弃对招标文件提出不明或误解的一切权力</w:t>
      </w:r>
      <w:r>
        <w:rPr>
          <w:rFonts w:hint="eastAsia" w:ascii="宋体" w:hAnsi="宋体"/>
          <w:color w:val="auto"/>
          <w:sz w:val="24"/>
          <w:highlight w:val="none"/>
        </w:rPr>
        <w:t>。</w:t>
      </w:r>
    </w:p>
    <w:p>
      <w:pPr>
        <w:numPr>
          <w:ilvl w:val="0"/>
          <w:numId w:val="109"/>
        </w:numPr>
        <w:tabs>
          <w:tab w:val="clear" w:pos="780"/>
        </w:tabs>
        <w:snapToGrid w:val="0"/>
        <w:spacing w:line="360" w:lineRule="auto"/>
        <w:ind w:left="426"/>
        <w:rPr>
          <w:rFonts w:ascii="宋体" w:hAnsi="宋体"/>
          <w:color w:val="auto"/>
          <w:sz w:val="24"/>
          <w:highlight w:val="none"/>
        </w:rPr>
      </w:pPr>
      <w:r>
        <w:rPr>
          <w:rFonts w:hint="eastAsia" w:ascii="宋体" w:hAnsi="宋体"/>
          <w:color w:val="auto"/>
          <w:sz w:val="24"/>
          <w:highlight w:val="none"/>
        </w:rPr>
        <w:t>我们同意提供</w:t>
      </w:r>
      <w:r>
        <w:rPr>
          <w:rFonts w:hint="eastAsia" w:ascii="宋体" w:hAnsi="宋体" w:cs="宋体"/>
          <w:color w:val="auto"/>
          <w:sz w:val="24"/>
          <w:highlight w:val="none"/>
          <w:lang w:eastAsia="zh-TW"/>
        </w:rPr>
        <w:t>采购人或者采购代理机构</w:t>
      </w:r>
      <w:r>
        <w:rPr>
          <w:rFonts w:hint="eastAsia" w:ascii="宋体" w:hAnsi="宋体"/>
          <w:color w:val="auto"/>
          <w:sz w:val="24"/>
          <w:highlight w:val="none"/>
        </w:rPr>
        <w:t>与评标委员会要求的有关投标的一切数据或资料。</w:t>
      </w:r>
    </w:p>
    <w:p>
      <w:pPr>
        <w:numPr>
          <w:ilvl w:val="0"/>
          <w:numId w:val="109"/>
        </w:numPr>
        <w:tabs>
          <w:tab w:val="clear" w:pos="780"/>
        </w:tabs>
        <w:snapToGrid w:val="0"/>
        <w:spacing w:line="360" w:lineRule="auto"/>
        <w:ind w:left="426"/>
        <w:rPr>
          <w:rFonts w:ascii="宋体" w:hAnsi="宋体"/>
          <w:color w:val="auto"/>
          <w:sz w:val="24"/>
          <w:highlight w:val="none"/>
        </w:rPr>
      </w:pPr>
      <w:r>
        <w:rPr>
          <w:rFonts w:hint="eastAsia" w:ascii="宋体" w:hAnsi="宋体"/>
          <w:color w:val="auto"/>
          <w:sz w:val="24"/>
          <w:highlight w:val="none"/>
        </w:rPr>
        <w:t>我们理解</w:t>
      </w:r>
      <w:r>
        <w:rPr>
          <w:rFonts w:hint="eastAsia" w:ascii="宋体" w:hAnsi="宋体" w:cs="宋体"/>
          <w:color w:val="auto"/>
          <w:sz w:val="24"/>
          <w:highlight w:val="none"/>
          <w:lang w:eastAsia="zh-TW"/>
        </w:rPr>
        <w:t>采购人或者采购代理机构</w:t>
      </w:r>
      <w:r>
        <w:rPr>
          <w:rFonts w:hint="eastAsia" w:ascii="宋体" w:hAnsi="宋体"/>
          <w:color w:val="auto"/>
          <w:sz w:val="24"/>
          <w:highlight w:val="none"/>
        </w:rPr>
        <w:t>与评标委员会并无义务必须接受最低报价的投标或其它任何投标，完全理解采购代理机构拒绝迟到的任何投标和最低投标报价不是被授予中标的唯一条件。</w:t>
      </w:r>
    </w:p>
    <w:p>
      <w:pPr>
        <w:numPr>
          <w:ilvl w:val="0"/>
          <w:numId w:val="109"/>
        </w:numPr>
        <w:tabs>
          <w:tab w:val="clear" w:pos="780"/>
        </w:tabs>
        <w:snapToGrid w:val="0"/>
        <w:spacing w:line="360" w:lineRule="auto"/>
        <w:ind w:left="426"/>
        <w:rPr>
          <w:rFonts w:ascii="宋体" w:hAnsi="宋体"/>
          <w:color w:val="auto"/>
          <w:sz w:val="24"/>
          <w:highlight w:val="none"/>
        </w:rPr>
      </w:pPr>
      <w:r>
        <w:rPr>
          <w:rFonts w:hint="eastAsia" w:ascii="宋体" w:hAnsi="宋体"/>
          <w:color w:val="auto"/>
          <w:sz w:val="24"/>
          <w:highlight w:val="none"/>
        </w:rPr>
        <w:t xml:space="preserve">如果我们未对招标文件全部要求作出实质性响应，则完全同意并接受按无效投标处理。 </w:t>
      </w:r>
    </w:p>
    <w:p>
      <w:pPr>
        <w:numPr>
          <w:ilvl w:val="0"/>
          <w:numId w:val="109"/>
        </w:numPr>
        <w:tabs>
          <w:tab w:val="clear" w:pos="780"/>
        </w:tabs>
        <w:snapToGrid w:val="0"/>
        <w:spacing w:line="360" w:lineRule="auto"/>
        <w:ind w:left="426"/>
        <w:rPr>
          <w:rFonts w:ascii="宋体" w:hAnsi="宋体"/>
          <w:color w:val="auto"/>
          <w:sz w:val="24"/>
          <w:highlight w:val="none"/>
        </w:rPr>
      </w:pPr>
      <w:r>
        <w:rPr>
          <w:rFonts w:hint="eastAsia" w:ascii="宋体" w:hAnsi="宋体"/>
          <w:color w:val="auto"/>
          <w:sz w:val="24"/>
          <w:highlight w:val="none"/>
        </w:rPr>
        <w:t>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pPr>
        <w:numPr>
          <w:ilvl w:val="0"/>
          <w:numId w:val="109"/>
        </w:numPr>
        <w:tabs>
          <w:tab w:val="clear" w:pos="780"/>
        </w:tabs>
        <w:snapToGrid w:val="0"/>
        <w:spacing w:line="360" w:lineRule="auto"/>
        <w:ind w:left="426"/>
        <w:rPr>
          <w:rFonts w:ascii="宋体" w:hAnsi="宋体"/>
          <w:color w:val="auto"/>
          <w:sz w:val="24"/>
          <w:highlight w:val="none"/>
        </w:rPr>
      </w:pPr>
      <w:r>
        <w:rPr>
          <w:rFonts w:hint="eastAsia" w:ascii="宋体" w:hAnsi="宋体"/>
          <w:color w:val="auto"/>
          <w:sz w:val="24"/>
          <w:highlight w:val="none"/>
        </w:rPr>
        <w:t>如果我们提供的声明或承诺不真实，则完全同意认定为我司提供虚假材料，并同意作相应处理。</w:t>
      </w:r>
    </w:p>
    <w:p>
      <w:pPr>
        <w:numPr>
          <w:ilvl w:val="0"/>
          <w:numId w:val="109"/>
        </w:numPr>
        <w:tabs>
          <w:tab w:val="clear" w:pos="780"/>
        </w:tabs>
        <w:snapToGrid w:val="0"/>
        <w:spacing w:line="360" w:lineRule="auto"/>
        <w:ind w:left="426"/>
        <w:rPr>
          <w:rFonts w:ascii="宋体" w:hAnsi="宋体"/>
          <w:color w:val="auto"/>
          <w:sz w:val="24"/>
          <w:highlight w:val="none"/>
        </w:rPr>
      </w:pPr>
      <w:r>
        <w:rPr>
          <w:rFonts w:hint="eastAsia" w:ascii="宋体" w:hAnsi="宋体"/>
          <w:color w:val="auto"/>
          <w:sz w:val="24"/>
          <w:highlight w:val="none"/>
        </w:rPr>
        <w:t>我们是依法注册的法人，在法律、财务及运作上完全独立于本项目采购人、用户单位（如有）和采购代理机构。</w:t>
      </w:r>
    </w:p>
    <w:p>
      <w:pPr>
        <w:numPr>
          <w:ilvl w:val="0"/>
          <w:numId w:val="109"/>
        </w:numPr>
        <w:tabs>
          <w:tab w:val="clear" w:pos="780"/>
        </w:tabs>
        <w:snapToGrid w:val="0"/>
        <w:spacing w:line="360" w:lineRule="auto"/>
        <w:ind w:left="426"/>
        <w:rPr>
          <w:rFonts w:ascii="宋体" w:hAnsi="宋体"/>
          <w:color w:val="auto"/>
          <w:sz w:val="24"/>
          <w:highlight w:val="none"/>
        </w:rPr>
      </w:pPr>
      <w:r>
        <w:rPr>
          <w:rFonts w:hint="eastAsia" w:ascii="宋体" w:hAnsi="宋体"/>
          <w:color w:val="auto"/>
          <w:sz w:val="24"/>
          <w:highlight w:val="none"/>
        </w:rPr>
        <w:t>与本投标有关的一切正式信函请寄：</w:t>
      </w:r>
      <w:r>
        <w:rPr>
          <w:rFonts w:hint="eastAsia" w:ascii="宋体" w:hAnsi="宋体"/>
          <w:color w:val="auto"/>
          <w:sz w:val="24"/>
          <w:highlight w:val="none"/>
          <w:u w:val="single"/>
        </w:rPr>
        <w:t xml:space="preserve">      地址      </w:t>
      </w:r>
    </w:p>
    <w:p>
      <w:pPr>
        <w:rPr>
          <w:rFonts w:ascii="宋体"/>
          <w:color w:val="auto"/>
          <w:sz w:val="24"/>
          <w:highlight w:val="none"/>
        </w:rPr>
      </w:pPr>
    </w:p>
    <w:p>
      <w:pPr>
        <w:spacing w:line="500" w:lineRule="exact"/>
        <w:ind w:left="420"/>
        <w:rPr>
          <w:color w:val="auto"/>
          <w:spacing w:val="4"/>
          <w:sz w:val="24"/>
          <w:highlight w:val="none"/>
        </w:rPr>
      </w:pPr>
      <w:r>
        <w:rPr>
          <w:rFonts w:hint="eastAsia"/>
          <w:color w:val="auto"/>
          <w:spacing w:val="4"/>
          <w:sz w:val="24"/>
          <w:highlight w:val="none"/>
        </w:rPr>
        <w:t>投标人名称（单位盖公章）：</w:t>
      </w:r>
    </w:p>
    <w:p>
      <w:pPr>
        <w:spacing w:line="500" w:lineRule="exact"/>
        <w:ind w:left="420"/>
        <w:rPr>
          <w:color w:val="auto"/>
          <w:spacing w:val="4"/>
          <w:sz w:val="24"/>
          <w:highlight w:val="none"/>
        </w:rPr>
      </w:pPr>
      <w:r>
        <w:rPr>
          <w:rFonts w:hint="eastAsia" w:ascii="宋体"/>
          <w:color w:val="auto"/>
          <w:sz w:val="24"/>
          <w:highlight w:val="none"/>
        </w:rPr>
        <w:t>法定代表人或</w:t>
      </w:r>
      <w:r>
        <w:rPr>
          <w:rFonts w:hint="eastAsia" w:ascii="宋体" w:hAnsi="宋体"/>
          <w:color w:val="auto"/>
          <w:sz w:val="24"/>
          <w:highlight w:val="none"/>
        </w:rPr>
        <w:t>投标人授权代表（签名或盖个人名章）</w:t>
      </w:r>
    </w:p>
    <w:p>
      <w:pPr>
        <w:spacing w:line="500" w:lineRule="exact"/>
        <w:ind w:left="420"/>
        <w:rPr>
          <w:color w:val="auto"/>
          <w:spacing w:val="4"/>
          <w:sz w:val="24"/>
          <w:highlight w:val="none"/>
        </w:rPr>
      </w:pPr>
      <w:r>
        <w:rPr>
          <w:rFonts w:hint="eastAsia"/>
          <w:color w:val="auto"/>
          <w:spacing w:val="4"/>
          <w:sz w:val="24"/>
          <w:highlight w:val="none"/>
        </w:rPr>
        <w:t>日期</w:t>
      </w:r>
    </w:p>
    <w:p>
      <w:pPr>
        <w:snapToGrid w:val="0"/>
        <w:spacing w:line="360" w:lineRule="auto"/>
        <w:ind w:firstLine="494" w:firstLineChars="206"/>
        <w:rPr>
          <w:rFonts w:ascii="黑体" w:eastAsia="黑体"/>
          <w:bCs/>
          <w:color w:val="auto"/>
          <w:sz w:val="24"/>
          <w:highlight w:val="none"/>
        </w:rPr>
      </w:pPr>
    </w:p>
    <w:p>
      <w:pPr>
        <w:autoSpaceDE w:val="0"/>
        <w:autoSpaceDN w:val="0"/>
        <w:spacing w:line="360" w:lineRule="auto"/>
        <w:ind w:left="420" w:firstLine="6"/>
        <w:rPr>
          <w:rFonts w:ascii="宋体" w:hAnsi="宋体"/>
          <w:color w:val="auto"/>
          <w:sz w:val="24"/>
          <w:highlight w:val="none"/>
        </w:rPr>
      </w:pPr>
      <w:r>
        <w:rPr>
          <w:rFonts w:hint="eastAsia" w:ascii="宋体" w:hAnsi="宋体"/>
          <w:color w:val="auto"/>
          <w:sz w:val="24"/>
          <w:highlight w:val="none"/>
        </w:rPr>
        <w:t>备注：投标函中承诺的投标有效期应当不少于招标文件中载明的投标有效期，其他内容不得擅自删改，否则视为无效投标。</w:t>
      </w:r>
    </w:p>
    <w:p>
      <w:pPr>
        <w:snapToGrid w:val="0"/>
        <w:spacing w:line="360" w:lineRule="auto"/>
        <w:ind w:firstLine="494" w:firstLineChars="206"/>
        <w:rPr>
          <w:rFonts w:ascii="黑体" w:eastAsia="黑体"/>
          <w:bCs/>
          <w:color w:val="auto"/>
          <w:sz w:val="24"/>
          <w:highlight w:val="none"/>
        </w:rPr>
        <w:sectPr>
          <w:pgSz w:w="11906" w:h="16838"/>
          <w:pgMar w:top="1440" w:right="1286" w:bottom="1440" w:left="1440" w:header="851" w:footer="992" w:gutter="0"/>
          <w:cols w:space="720" w:num="1"/>
          <w:docGrid w:type="lines" w:linePitch="312" w:charSpace="0"/>
        </w:sectPr>
      </w:pPr>
    </w:p>
    <w:p>
      <w:pPr>
        <w:tabs>
          <w:tab w:val="left" w:pos="142"/>
        </w:tabs>
        <w:autoSpaceDE w:val="0"/>
        <w:autoSpaceDN w:val="0"/>
        <w:spacing w:line="360" w:lineRule="auto"/>
        <w:ind w:left="-2" w:leftChars="-1" w:firstLine="2"/>
        <w:jc w:val="center"/>
        <w:outlineLvl w:val="3"/>
        <w:rPr>
          <w:rFonts w:ascii="黑体" w:hAnsi="黑体" w:eastAsia="黑体"/>
          <w:color w:val="auto"/>
          <w:sz w:val="32"/>
          <w:szCs w:val="32"/>
          <w:highlight w:val="none"/>
        </w:rPr>
      </w:pPr>
      <w:bookmarkStart w:id="72" w:name="_承诺函"/>
      <w:bookmarkEnd w:id="72"/>
      <w:bookmarkStart w:id="73" w:name="_Toc275865607"/>
      <w:bookmarkStart w:id="74" w:name="_Toc52165081"/>
      <w:bookmarkStart w:id="75" w:name="_Toc435515299"/>
      <w:bookmarkStart w:id="76" w:name="_Toc435514859"/>
      <w:bookmarkStart w:id="77" w:name="_Toc50736477"/>
      <w:bookmarkStart w:id="78" w:name="_Toc50737329"/>
      <w:bookmarkStart w:id="79" w:name="_Toc50737297"/>
      <w:bookmarkStart w:id="80" w:name="_Toc50736476"/>
      <w:bookmarkStart w:id="81" w:name="_Toc50737296"/>
      <w:bookmarkStart w:id="82" w:name="_Toc52165080"/>
      <w:bookmarkStart w:id="83" w:name="_Toc50737328"/>
      <w:bookmarkStart w:id="84" w:name="_Toc50691034"/>
      <w:r>
        <w:rPr>
          <w:rFonts w:hint="eastAsia" w:ascii="黑体" w:hAnsi="黑体" w:eastAsia="黑体"/>
          <w:color w:val="auto"/>
          <w:sz w:val="32"/>
          <w:szCs w:val="32"/>
          <w:highlight w:val="none"/>
        </w:rPr>
        <w:t>法定代表人授权委托书</w:t>
      </w:r>
      <w:bookmarkEnd w:id="73"/>
      <w:bookmarkEnd w:id="74"/>
      <w:bookmarkEnd w:id="75"/>
      <w:bookmarkEnd w:id="76"/>
      <w:bookmarkEnd w:id="77"/>
      <w:bookmarkEnd w:id="78"/>
      <w:bookmarkEnd w:id="79"/>
    </w:p>
    <w:p>
      <w:pPr>
        <w:pStyle w:val="8"/>
        <w:spacing w:line="360" w:lineRule="auto"/>
        <w:ind w:firstLine="480" w:firstLineChars="200"/>
        <w:rPr>
          <w:color w:val="auto"/>
          <w:sz w:val="24"/>
          <w:szCs w:val="24"/>
          <w:highlight w:val="none"/>
        </w:rPr>
      </w:pPr>
      <w:r>
        <w:rPr>
          <w:rFonts w:hint="eastAsia"/>
          <w:color w:val="auto"/>
          <w:sz w:val="24"/>
          <w:szCs w:val="24"/>
          <w:highlight w:val="none"/>
        </w:rPr>
        <w:t>本授权委托书声明：注册于</w:t>
      </w:r>
      <w:r>
        <w:rPr>
          <w:rFonts w:hint="eastAsia"/>
          <w:color w:val="auto"/>
          <w:sz w:val="24"/>
          <w:szCs w:val="24"/>
          <w:highlight w:val="none"/>
          <w:u w:val="single"/>
        </w:rPr>
        <w:t xml:space="preserve"> （投标人地址）  </w:t>
      </w:r>
      <w:r>
        <w:rPr>
          <w:rFonts w:hint="eastAsia"/>
          <w:color w:val="auto"/>
          <w:sz w:val="24"/>
          <w:szCs w:val="24"/>
          <w:highlight w:val="none"/>
        </w:rPr>
        <w:t>的</w:t>
      </w:r>
      <w:r>
        <w:rPr>
          <w:rFonts w:hint="eastAsia"/>
          <w:color w:val="auto"/>
          <w:sz w:val="24"/>
          <w:szCs w:val="24"/>
          <w:highlight w:val="none"/>
          <w:u w:val="single"/>
        </w:rPr>
        <w:t xml:space="preserve">  （单位名称）    </w:t>
      </w:r>
      <w:r>
        <w:rPr>
          <w:rFonts w:hint="eastAsia"/>
          <w:color w:val="auto"/>
          <w:sz w:val="24"/>
          <w:szCs w:val="24"/>
          <w:highlight w:val="none"/>
        </w:rPr>
        <w:t>在下面签名的</w:t>
      </w:r>
      <w:r>
        <w:rPr>
          <w:rFonts w:hint="eastAsia"/>
          <w:color w:val="auto"/>
          <w:sz w:val="24"/>
          <w:szCs w:val="24"/>
          <w:highlight w:val="none"/>
          <w:u w:val="single"/>
        </w:rPr>
        <w:t>（法定代表人姓名、职务）</w:t>
      </w:r>
      <w:r>
        <w:rPr>
          <w:rFonts w:hint="eastAsia"/>
          <w:color w:val="auto"/>
          <w:sz w:val="24"/>
          <w:szCs w:val="24"/>
          <w:highlight w:val="none"/>
        </w:rPr>
        <w:t>在此授权</w:t>
      </w:r>
      <w:r>
        <w:rPr>
          <w:rFonts w:hint="eastAsia"/>
          <w:color w:val="auto"/>
          <w:sz w:val="24"/>
          <w:szCs w:val="24"/>
          <w:highlight w:val="none"/>
          <w:u w:val="single"/>
        </w:rPr>
        <w:t>（被授权人姓名、职务）</w:t>
      </w:r>
      <w:r>
        <w:rPr>
          <w:rFonts w:hint="eastAsia"/>
          <w:color w:val="auto"/>
          <w:sz w:val="24"/>
          <w:szCs w:val="24"/>
          <w:highlight w:val="none"/>
          <w:u w:val="single"/>
          <w:lang w:eastAsia="zh-CN"/>
        </w:rPr>
        <w:t>（身份证号码）</w:t>
      </w:r>
      <w:r>
        <w:rPr>
          <w:rFonts w:hint="eastAsia"/>
          <w:color w:val="auto"/>
          <w:sz w:val="24"/>
          <w:szCs w:val="24"/>
          <w:highlight w:val="none"/>
        </w:rPr>
        <w:t>作为我公司的合法代理人，就</w:t>
      </w:r>
      <w:r>
        <w:rPr>
          <w:rFonts w:hint="eastAsia"/>
          <w:color w:val="auto"/>
          <w:sz w:val="24"/>
          <w:szCs w:val="24"/>
          <w:highlight w:val="none"/>
          <w:u w:val="single"/>
        </w:rPr>
        <w:t>（项目名称、项目编号</w:t>
      </w:r>
      <w:r>
        <w:rPr>
          <w:rFonts w:hint="eastAsia"/>
          <w:color w:val="auto"/>
          <w:sz w:val="24"/>
          <w:szCs w:val="24"/>
          <w:highlight w:val="none"/>
        </w:rPr>
        <w:t>）</w:t>
      </w:r>
      <w:r>
        <w:rPr>
          <w:rFonts w:hint="eastAsia"/>
          <w:color w:val="auto"/>
          <w:sz w:val="24"/>
          <w:szCs w:val="24"/>
          <w:highlight w:val="none"/>
          <w:lang w:eastAsia="zh-CN"/>
        </w:rPr>
        <w:t>（包组号：</w:t>
      </w:r>
      <w:r>
        <w:rPr>
          <w:rFonts w:hint="eastAsia"/>
          <w:color w:val="auto"/>
          <w:sz w:val="24"/>
          <w:szCs w:val="24"/>
          <w:highlight w:val="none"/>
          <w:lang w:val="en-US" w:eastAsia="zh-CN"/>
        </w:rPr>
        <w:t xml:space="preserve">   ）</w:t>
      </w:r>
      <w:r>
        <w:rPr>
          <w:rFonts w:hint="eastAsia"/>
          <w:color w:val="auto"/>
          <w:sz w:val="24"/>
          <w:szCs w:val="24"/>
          <w:highlight w:val="none"/>
        </w:rPr>
        <w:t>的招投标活动，采购合同的签订、执行、完成和售后服务，作为投标人代表以我方的名义处理一切与之有关的事务。</w:t>
      </w:r>
    </w:p>
    <w:p>
      <w:pPr>
        <w:pStyle w:val="8"/>
        <w:spacing w:line="360" w:lineRule="auto"/>
        <w:ind w:firstLine="480" w:firstLineChars="200"/>
        <w:rPr>
          <w:color w:val="auto"/>
          <w:sz w:val="24"/>
          <w:szCs w:val="24"/>
          <w:highlight w:val="none"/>
        </w:rPr>
      </w:pPr>
      <w:r>
        <w:rPr>
          <w:rFonts w:hint="eastAsia"/>
          <w:color w:val="auto"/>
          <w:sz w:val="24"/>
          <w:szCs w:val="24"/>
          <w:highlight w:val="none"/>
        </w:rPr>
        <w:t>被授权人（投标人授权代表）无转委托权限。</w:t>
      </w:r>
    </w:p>
    <w:p>
      <w:pPr>
        <w:spacing w:line="360" w:lineRule="auto"/>
        <w:ind w:firstLine="480" w:firstLineChars="200"/>
        <w:rPr>
          <w:rFonts w:ascii="宋体"/>
          <w:color w:val="auto"/>
          <w:sz w:val="24"/>
          <w:highlight w:val="none"/>
        </w:rPr>
      </w:pPr>
      <w:r>
        <w:rPr>
          <w:rFonts w:hint="eastAsia" w:ascii="宋体"/>
          <w:color w:val="auto"/>
          <w:sz w:val="24"/>
          <w:highlight w:val="none"/>
        </w:rPr>
        <w:t>本授权书自法定代表人签字（或盖个人名章）之日起生效，特此声明。</w:t>
      </w:r>
    </w:p>
    <w:p>
      <w:pPr>
        <w:spacing w:line="360" w:lineRule="auto"/>
        <w:rPr>
          <w:rFonts w:ascii="宋体"/>
          <w:color w:val="auto"/>
          <w:sz w:val="24"/>
          <w:highlight w:val="none"/>
        </w:rPr>
      </w:pPr>
    </w:p>
    <w:p>
      <w:pPr>
        <w:spacing w:line="360" w:lineRule="auto"/>
        <w:rPr>
          <w:rFonts w:ascii="宋体"/>
          <w:color w:val="auto"/>
          <w:sz w:val="24"/>
          <w:highlight w:val="none"/>
        </w:rPr>
      </w:pPr>
    </w:p>
    <w:p>
      <w:pPr>
        <w:spacing w:line="360" w:lineRule="auto"/>
        <w:rPr>
          <w:rFonts w:ascii="宋体"/>
          <w:color w:val="auto"/>
          <w:sz w:val="24"/>
          <w:highlight w:val="none"/>
        </w:rPr>
      </w:pPr>
      <w:r>
        <w:rPr>
          <w:rFonts w:hint="eastAsia" w:ascii="宋体"/>
          <w:color w:val="auto"/>
          <w:sz w:val="24"/>
          <w:highlight w:val="none"/>
        </w:rPr>
        <w:t>投标人名称（</w:t>
      </w:r>
      <w:r>
        <w:rPr>
          <w:rFonts w:hint="eastAsia" w:ascii="宋体" w:hAnsi="宋体"/>
          <w:color w:val="auto"/>
          <w:sz w:val="24"/>
          <w:highlight w:val="none"/>
        </w:rPr>
        <w:t>单位盖</w:t>
      </w:r>
      <w:r>
        <w:rPr>
          <w:rFonts w:hint="eastAsia"/>
          <w:color w:val="auto"/>
          <w:spacing w:val="4"/>
          <w:sz w:val="24"/>
          <w:highlight w:val="none"/>
        </w:rPr>
        <w:t>公章</w:t>
      </w:r>
      <w:r>
        <w:rPr>
          <w:rFonts w:hint="eastAsia" w:ascii="宋体"/>
          <w:color w:val="auto"/>
          <w:sz w:val="24"/>
          <w:highlight w:val="none"/>
        </w:rPr>
        <w:t>）：</w:t>
      </w:r>
    </w:p>
    <w:p>
      <w:pPr>
        <w:spacing w:line="360" w:lineRule="auto"/>
        <w:rPr>
          <w:rFonts w:ascii="宋体"/>
          <w:color w:val="auto"/>
          <w:sz w:val="24"/>
          <w:highlight w:val="none"/>
        </w:rPr>
      </w:pPr>
      <w:r>
        <w:rPr>
          <w:rFonts w:hint="eastAsia" w:ascii="宋体"/>
          <w:color w:val="auto"/>
          <w:sz w:val="24"/>
          <w:highlight w:val="none"/>
        </w:rPr>
        <w:t>地      址：</w:t>
      </w:r>
    </w:p>
    <w:p>
      <w:pPr>
        <w:tabs>
          <w:tab w:val="left" w:pos="3780"/>
        </w:tabs>
        <w:spacing w:line="360" w:lineRule="auto"/>
        <w:rPr>
          <w:rFonts w:ascii="宋体"/>
          <w:color w:val="auto"/>
          <w:sz w:val="24"/>
          <w:highlight w:val="none"/>
        </w:rPr>
      </w:pPr>
      <w:r>
        <w:rPr>
          <w:rFonts w:hint="eastAsia" w:ascii="宋体"/>
          <w:color w:val="auto"/>
          <w:sz w:val="24"/>
          <w:highlight w:val="none"/>
        </w:rPr>
        <w:t xml:space="preserve">法定代表人（签字或盖个人名章）：                         签字日期：  </w:t>
      </w:r>
      <w:r>
        <w:rPr>
          <w:rFonts w:hint="eastAsia" w:ascii="宋体" w:hAnsi="宋体"/>
          <w:color w:val="auto"/>
          <w:sz w:val="24"/>
          <w:highlight w:val="none"/>
        </w:rPr>
        <w:t>年  月  日</w:t>
      </w:r>
    </w:p>
    <w:p>
      <w:pPr>
        <w:spacing w:line="360" w:lineRule="auto"/>
        <w:ind w:left="1104" w:leftChars="552" w:firstLine="2261"/>
        <w:rPr>
          <w:rFonts w:ascii="宋体"/>
          <w:color w:val="auto"/>
          <w:sz w:val="24"/>
          <w:highlight w:val="none"/>
        </w:rPr>
      </w:pPr>
    </w:p>
    <w:p>
      <w:pPr>
        <w:spacing w:line="360" w:lineRule="auto"/>
        <w:rPr>
          <w:rFonts w:ascii="宋体"/>
          <w:color w:val="auto"/>
          <w:sz w:val="24"/>
          <w:highlight w:val="none"/>
        </w:rPr>
      </w:pPr>
      <w:r>
        <w:rPr>
          <w:rFonts w:ascii="宋体"/>
          <w:color w:val="auto"/>
          <w:sz w:val="24"/>
          <w:highlight w:val="none"/>
        </w:rPr>
        <mc:AlternateContent>
          <mc:Choice Requires="wpg">
            <w:drawing>
              <wp:anchor distT="0" distB="0" distL="114300" distR="114300" simplePos="0" relativeHeight="251660288" behindDoc="0" locked="0" layoutInCell="1" allowOverlap="1">
                <wp:simplePos x="0" y="0"/>
                <wp:positionH relativeFrom="column">
                  <wp:posOffset>-19050</wp:posOffset>
                </wp:positionH>
                <wp:positionV relativeFrom="paragraph">
                  <wp:posOffset>217170</wp:posOffset>
                </wp:positionV>
                <wp:extent cx="5584190" cy="1487805"/>
                <wp:effectExtent l="4445" t="4445" r="12065" b="12700"/>
                <wp:wrapNone/>
                <wp:docPr id="9" name="组合 6"/>
                <wp:cNvGraphicFramePr/>
                <a:graphic xmlns:a="http://schemas.openxmlformats.org/drawingml/2006/main">
                  <a:graphicData uri="http://schemas.microsoft.com/office/word/2010/wordprocessingGroup">
                    <wpg:wgp>
                      <wpg:cNvGrpSpPr/>
                      <wpg:grpSpPr>
                        <a:xfrm>
                          <a:off x="0" y="0"/>
                          <a:ext cx="5584190" cy="1487805"/>
                          <a:chOff x="1410" y="9240"/>
                          <a:chExt cx="8794" cy="2343"/>
                        </a:xfrm>
                        <a:effectLst/>
                      </wpg:grpSpPr>
                      <wps:wsp>
                        <wps:cNvPr id="11" name="矩形 4"/>
                        <wps:cNvSpPr>
                          <a:spLocks noChangeArrowheads="1"/>
                        </wps:cNvSpPr>
                        <wps:spPr bwMode="auto">
                          <a:xfrm>
                            <a:off x="1410" y="9240"/>
                            <a:ext cx="4337" cy="2343"/>
                          </a:xfrm>
                          <a:prstGeom prst="rect">
                            <a:avLst/>
                          </a:prstGeom>
                          <a:solidFill>
                            <a:srgbClr val="FFFFFF"/>
                          </a:solidFill>
                          <a:ln w="9525">
                            <a:solidFill>
                              <a:srgbClr val="000000"/>
                            </a:solidFill>
                            <a:miter lim="800000"/>
                          </a:ln>
                          <a:effectLst/>
                        </wps:spPr>
                        <wps:txbx>
                          <w:txbxContent>
                            <w:p>
                              <w:pPr>
                                <w:jc w:val="center"/>
                              </w:pPr>
                            </w:p>
                            <w:p>
                              <w:pPr>
                                <w:jc w:val="center"/>
                                <w:rPr>
                                  <w:sz w:val="24"/>
                                </w:rPr>
                              </w:pPr>
                              <w:r>
                                <w:rPr>
                                  <w:rFonts w:hint="eastAsia"/>
                                  <w:sz w:val="24"/>
                                </w:rPr>
                                <w:t>被授权人（授权代表）</w:t>
                              </w:r>
                            </w:p>
                            <w:p>
                              <w:pPr>
                                <w:jc w:val="center"/>
                                <w:rPr>
                                  <w:sz w:val="24"/>
                                </w:rPr>
                              </w:pPr>
                              <w:r>
                                <w:rPr>
                                  <w:rFonts w:hint="eastAsia"/>
                                  <w:sz w:val="24"/>
                                </w:rPr>
                                <w:t>居民身份证复印件粘贴处</w:t>
                              </w:r>
                            </w:p>
                            <w:p>
                              <w:pPr>
                                <w:ind w:firstLine="1200" w:firstLineChars="500"/>
                                <w:rPr>
                                  <w:sz w:val="24"/>
                                </w:rPr>
                              </w:pPr>
                            </w:p>
                            <w:p>
                              <w:pPr>
                                <w:jc w:val="center"/>
                              </w:pPr>
                              <w:r>
                                <w:rPr>
                                  <w:rFonts w:hint="eastAsia"/>
                                  <w:sz w:val="24"/>
                                </w:rPr>
                                <w:t>（正面）</w:t>
                              </w:r>
                            </w:p>
                            <w:p/>
                          </w:txbxContent>
                        </wps:txbx>
                        <wps:bodyPr rot="0" vert="horz" wrap="square" lIns="91440" tIns="45720" rIns="91440" bIns="45720" anchor="t" anchorCtr="0" upright="1">
                          <a:noAutofit/>
                        </wps:bodyPr>
                      </wps:wsp>
                      <wps:wsp>
                        <wps:cNvPr id="12" name="矩形 8"/>
                        <wps:cNvSpPr>
                          <a:spLocks noChangeArrowheads="1"/>
                        </wps:cNvSpPr>
                        <wps:spPr bwMode="auto">
                          <a:xfrm>
                            <a:off x="5867" y="9240"/>
                            <a:ext cx="4337" cy="2343"/>
                          </a:xfrm>
                          <a:prstGeom prst="rect">
                            <a:avLst/>
                          </a:prstGeom>
                          <a:solidFill>
                            <a:srgbClr val="FFFFFF"/>
                          </a:solidFill>
                          <a:ln w="9525">
                            <a:solidFill>
                              <a:srgbClr val="000000"/>
                            </a:solidFill>
                            <a:miter lim="800000"/>
                          </a:ln>
                          <a:effectLst/>
                        </wps:spPr>
                        <wps:txbx>
                          <w:txbxContent>
                            <w:p>
                              <w:pPr>
                                <w:jc w:val="center"/>
                              </w:pPr>
                            </w:p>
                            <w:p>
                              <w:pPr>
                                <w:jc w:val="center"/>
                                <w:rPr>
                                  <w:sz w:val="24"/>
                                </w:rPr>
                              </w:pPr>
                              <w:r>
                                <w:rPr>
                                  <w:rFonts w:hint="eastAsia"/>
                                  <w:sz w:val="24"/>
                                </w:rPr>
                                <w:t>被授权人（授权代表）</w:t>
                              </w:r>
                            </w:p>
                            <w:p>
                              <w:pPr>
                                <w:jc w:val="center"/>
                                <w:rPr>
                                  <w:sz w:val="24"/>
                                </w:rPr>
                              </w:pPr>
                              <w:r>
                                <w:rPr>
                                  <w:rFonts w:hint="eastAsia"/>
                                  <w:sz w:val="24"/>
                                </w:rPr>
                                <w:t>居民身份证复印件粘贴处</w:t>
                              </w:r>
                            </w:p>
                            <w:p>
                              <w:pPr>
                                <w:ind w:firstLine="1200" w:firstLineChars="500"/>
                                <w:rPr>
                                  <w:sz w:val="24"/>
                                </w:rPr>
                              </w:pPr>
                            </w:p>
                            <w:p>
                              <w:pPr>
                                <w:jc w:val="center"/>
                                <w:rPr>
                                  <w:sz w:val="24"/>
                                </w:rPr>
                              </w:pPr>
                              <w:r>
                                <w:rPr>
                                  <w:rFonts w:hint="eastAsia"/>
                                  <w:sz w:val="24"/>
                                </w:rPr>
                                <w:t>（反面）</w:t>
                              </w:r>
                            </w:p>
                            <w:p/>
                          </w:txbxContent>
                        </wps:txbx>
                        <wps:bodyPr rot="0" vert="horz" wrap="square" lIns="91440" tIns="45720" rIns="91440" bIns="45720" anchor="t" anchorCtr="0" upright="1">
                          <a:noAutofit/>
                        </wps:bodyPr>
                      </wps:wsp>
                    </wpg:wgp>
                  </a:graphicData>
                </a:graphic>
              </wp:anchor>
            </w:drawing>
          </mc:Choice>
          <mc:Fallback>
            <w:pict>
              <v:group id="组合 6" o:spid="_x0000_s1026" o:spt="203" style="position:absolute;left:0pt;margin-left:-1.5pt;margin-top:17.1pt;height:117.15pt;width:439.7pt;z-index:251660288;mso-width-relative:page;mso-height-relative:page;" coordorigin="1410,9240" coordsize="8794,2343" o:gfxdata="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">
                <o:lock v:ext="edit" aspectratio="f"/>
                <v:rect id="矩形 4" o:spid="_x0000_s1026" o:spt="1" style="position:absolute;left:1410;top:9240;height:2343;width:4337;"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pPr>
                      </w:p>
                      <w:p>
                        <w:pPr>
                          <w:jc w:val="center"/>
                          <w:rPr>
                            <w:sz w:val="24"/>
                          </w:rPr>
                        </w:pPr>
                        <w:r>
                          <w:rPr>
                            <w:rFonts w:hint="eastAsia"/>
                            <w:sz w:val="24"/>
                          </w:rPr>
                          <w:t>被授权人（授权代表）</w:t>
                        </w:r>
                      </w:p>
                      <w:p>
                        <w:pPr>
                          <w:jc w:val="center"/>
                          <w:rPr>
                            <w:sz w:val="24"/>
                          </w:rPr>
                        </w:pPr>
                        <w:r>
                          <w:rPr>
                            <w:rFonts w:hint="eastAsia"/>
                            <w:sz w:val="24"/>
                          </w:rPr>
                          <w:t>居民身份证复印件粘贴处</w:t>
                        </w:r>
                      </w:p>
                      <w:p>
                        <w:pPr>
                          <w:ind w:firstLine="1200" w:firstLineChars="500"/>
                          <w:rPr>
                            <w:sz w:val="24"/>
                          </w:rPr>
                        </w:pPr>
                      </w:p>
                      <w:p>
                        <w:pPr>
                          <w:jc w:val="center"/>
                        </w:pPr>
                        <w:r>
                          <w:rPr>
                            <w:rFonts w:hint="eastAsia"/>
                            <w:sz w:val="24"/>
                          </w:rPr>
                          <w:t>（正面）</w:t>
                        </w:r>
                      </w:p>
                      <w:p/>
                    </w:txbxContent>
                  </v:textbox>
                </v:rect>
                <v:rect id="矩形 8" o:spid="_x0000_s1026" o:spt="1" style="position:absolute;left:5867;top:9240;height:2343;width:4337;"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pPr>
                      </w:p>
                      <w:p>
                        <w:pPr>
                          <w:jc w:val="center"/>
                          <w:rPr>
                            <w:sz w:val="24"/>
                          </w:rPr>
                        </w:pPr>
                        <w:r>
                          <w:rPr>
                            <w:rFonts w:hint="eastAsia"/>
                            <w:sz w:val="24"/>
                          </w:rPr>
                          <w:t>被授权人（授权代表）</w:t>
                        </w:r>
                      </w:p>
                      <w:p>
                        <w:pPr>
                          <w:jc w:val="center"/>
                          <w:rPr>
                            <w:sz w:val="24"/>
                          </w:rPr>
                        </w:pPr>
                        <w:r>
                          <w:rPr>
                            <w:rFonts w:hint="eastAsia"/>
                            <w:sz w:val="24"/>
                          </w:rPr>
                          <w:t>居民身份证复印件粘贴处</w:t>
                        </w:r>
                      </w:p>
                      <w:p>
                        <w:pPr>
                          <w:ind w:firstLine="1200" w:firstLineChars="500"/>
                          <w:rPr>
                            <w:sz w:val="24"/>
                          </w:rPr>
                        </w:pPr>
                      </w:p>
                      <w:p>
                        <w:pPr>
                          <w:jc w:val="center"/>
                          <w:rPr>
                            <w:sz w:val="24"/>
                          </w:rPr>
                        </w:pPr>
                        <w:r>
                          <w:rPr>
                            <w:rFonts w:hint="eastAsia"/>
                            <w:sz w:val="24"/>
                          </w:rPr>
                          <w:t>（反面）</w:t>
                        </w:r>
                      </w:p>
                      <w:p/>
                    </w:txbxContent>
                  </v:textbox>
                </v:rect>
              </v:group>
            </w:pict>
          </mc:Fallback>
        </mc:AlternateContent>
      </w:r>
    </w:p>
    <w:p>
      <w:pPr>
        <w:spacing w:line="360" w:lineRule="auto"/>
        <w:rPr>
          <w:rFonts w:ascii="宋体"/>
          <w:color w:val="auto"/>
          <w:sz w:val="24"/>
          <w:highlight w:val="none"/>
        </w:rPr>
      </w:pPr>
    </w:p>
    <w:p>
      <w:pPr>
        <w:spacing w:line="360" w:lineRule="auto"/>
        <w:rPr>
          <w:rFonts w:ascii="宋体"/>
          <w:color w:val="auto"/>
          <w:sz w:val="24"/>
          <w:highlight w:val="none"/>
        </w:rPr>
      </w:pPr>
    </w:p>
    <w:p>
      <w:pPr>
        <w:spacing w:line="360" w:lineRule="auto"/>
        <w:rPr>
          <w:rFonts w:ascii="宋体"/>
          <w:color w:val="auto"/>
          <w:sz w:val="24"/>
          <w:highlight w:val="none"/>
        </w:rPr>
      </w:pPr>
    </w:p>
    <w:p>
      <w:pPr>
        <w:spacing w:line="360" w:lineRule="auto"/>
        <w:rPr>
          <w:rFonts w:ascii="宋体"/>
          <w:color w:val="auto"/>
          <w:sz w:val="24"/>
          <w:highlight w:val="none"/>
        </w:rPr>
      </w:pPr>
    </w:p>
    <w:p>
      <w:pPr>
        <w:spacing w:line="360" w:lineRule="auto"/>
        <w:rPr>
          <w:rFonts w:ascii="宋体"/>
          <w:color w:val="auto"/>
          <w:sz w:val="24"/>
          <w:highlight w:val="none"/>
        </w:rPr>
      </w:pPr>
    </w:p>
    <w:p>
      <w:pPr>
        <w:spacing w:line="360" w:lineRule="auto"/>
        <w:rPr>
          <w:rFonts w:ascii="宋体"/>
          <w:color w:val="auto"/>
          <w:sz w:val="24"/>
          <w:highlight w:val="none"/>
        </w:rPr>
      </w:pPr>
    </w:p>
    <w:p>
      <w:pPr>
        <w:spacing w:line="440" w:lineRule="exact"/>
        <w:rPr>
          <w:rFonts w:ascii="宋体"/>
          <w:color w:val="auto"/>
          <w:sz w:val="24"/>
          <w:highlight w:val="none"/>
        </w:rPr>
        <w:sectPr>
          <w:pgSz w:w="11906" w:h="16838"/>
          <w:pgMar w:top="1440" w:right="1286" w:bottom="1440" w:left="1440" w:header="851" w:footer="992" w:gutter="0"/>
          <w:cols w:space="720" w:num="1"/>
          <w:docGrid w:type="lines" w:linePitch="312" w:charSpace="0"/>
        </w:sectPr>
      </w:pPr>
      <w:bookmarkStart w:id="85" w:name="_Toc226217114"/>
    </w:p>
    <w:bookmarkEnd w:id="85"/>
    <w:p>
      <w:pPr>
        <w:tabs>
          <w:tab w:val="left" w:pos="142"/>
        </w:tabs>
        <w:autoSpaceDE w:val="0"/>
        <w:autoSpaceDN w:val="0"/>
        <w:spacing w:line="360" w:lineRule="auto"/>
        <w:ind w:left="-2" w:leftChars="-1" w:firstLine="2"/>
        <w:jc w:val="center"/>
        <w:outlineLvl w:val="3"/>
        <w:rPr>
          <w:rFonts w:ascii="黑体" w:hAnsi="黑体" w:eastAsia="黑体"/>
          <w:color w:val="auto"/>
          <w:sz w:val="32"/>
          <w:szCs w:val="32"/>
          <w:highlight w:val="none"/>
        </w:rPr>
      </w:pPr>
      <w:bookmarkStart w:id="86" w:name="_Toc275865608"/>
      <w:bookmarkStart w:id="87" w:name="_Toc435515300"/>
      <w:bookmarkStart w:id="88" w:name="_Toc435514860"/>
      <w:r>
        <w:rPr>
          <w:rFonts w:hint="eastAsia" w:ascii="黑体" w:hAnsi="黑体" w:eastAsia="黑体"/>
          <w:color w:val="auto"/>
          <w:sz w:val="32"/>
          <w:szCs w:val="32"/>
          <w:highlight w:val="none"/>
        </w:rPr>
        <w:t>法定代表人证明书</w:t>
      </w:r>
      <w:bookmarkEnd w:id="80"/>
      <w:bookmarkEnd w:id="81"/>
      <w:bookmarkEnd w:id="82"/>
      <w:bookmarkEnd w:id="83"/>
      <w:bookmarkEnd w:id="84"/>
      <w:bookmarkEnd w:id="86"/>
      <w:bookmarkEnd w:id="87"/>
      <w:bookmarkEnd w:id="88"/>
    </w:p>
    <w:p>
      <w:pPr>
        <w:tabs>
          <w:tab w:val="left" w:pos="900"/>
        </w:tabs>
        <w:spacing w:line="480" w:lineRule="auto"/>
        <w:ind w:firstLine="1080" w:firstLineChars="450"/>
        <w:rPr>
          <w:rFonts w:ascii="宋体" w:hAnsi="宋体"/>
          <w:color w:val="auto"/>
          <w:sz w:val="24"/>
          <w:highlight w:val="none"/>
        </w:rPr>
      </w:pPr>
      <w:r>
        <w:rPr>
          <w:rFonts w:hint="eastAsia" w:ascii="宋体" w:hAnsi="宋体"/>
          <w:color w:val="auto"/>
          <w:sz w:val="24"/>
          <w:highlight w:val="none"/>
        </w:rPr>
        <w:t>______________同志</w:t>
      </w:r>
      <w:r>
        <w:rPr>
          <w:rFonts w:hint="eastAsia" w:ascii="宋体" w:hAnsi="宋体"/>
          <w:color w:val="auto"/>
          <w:sz w:val="24"/>
          <w:highlight w:val="none"/>
          <w:lang w:eastAsia="zh-CN"/>
        </w:rPr>
        <w:t>（身份证号：</w:t>
      </w:r>
      <w:r>
        <w:rPr>
          <w:rFonts w:hint="eastAsia" w:ascii="宋体" w:hAnsi="宋体"/>
          <w:color w:val="auto"/>
          <w:sz w:val="24"/>
          <w:highlight w:val="none"/>
        </w:rPr>
        <w:t>__________</w:t>
      </w:r>
      <w:r>
        <w:rPr>
          <w:rFonts w:hint="eastAsia" w:ascii="宋体" w:hAnsi="宋体"/>
          <w:color w:val="auto"/>
          <w:sz w:val="24"/>
          <w:highlight w:val="none"/>
          <w:lang w:eastAsia="zh-CN"/>
        </w:rPr>
        <w:t>）</w:t>
      </w:r>
      <w:r>
        <w:rPr>
          <w:rFonts w:hint="eastAsia" w:ascii="宋体" w:hAnsi="宋体"/>
          <w:color w:val="auto"/>
          <w:sz w:val="24"/>
          <w:highlight w:val="none"/>
        </w:rPr>
        <w:t>，现任我单位职务，为法定代表人，特此证明。</w:t>
      </w:r>
    </w:p>
    <w:p>
      <w:pPr>
        <w:spacing w:line="360" w:lineRule="auto"/>
        <w:ind w:firstLine="480" w:firstLineChars="200"/>
        <w:rPr>
          <w:rFonts w:ascii="宋体" w:hAnsi="宋体"/>
          <w:color w:val="auto"/>
          <w:sz w:val="24"/>
          <w:highlight w:val="none"/>
        </w:rPr>
      </w:pPr>
      <w:r>
        <w:rPr>
          <w:rFonts w:hint="eastAsia" w:ascii="宋体"/>
          <w:color w:val="auto"/>
          <w:sz w:val="24"/>
          <w:highlight w:val="none"/>
        </w:rPr>
        <w:t>本证明书自签发之日起生效，</w:t>
      </w:r>
      <w:r>
        <w:rPr>
          <w:rFonts w:hint="eastAsia" w:ascii="宋体" w:hAnsi="宋体"/>
          <w:color w:val="auto"/>
          <w:sz w:val="24"/>
          <w:highlight w:val="none"/>
        </w:rPr>
        <w:t>有效期与本公司投标文件中标注的投标有效期相同。</w:t>
      </w:r>
    </w:p>
    <w:p>
      <w:pPr>
        <w:spacing w:line="480" w:lineRule="auto"/>
        <w:ind w:firstLine="480" w:firstLineChars="200"/>
        <w:rPr>
          <w:rFonts w:ascii="宋体" w:hAnsi="宋体"/>
          <w:color w:val="auto"/>
          <w:sz w:val="24"/>
          <w:highlight w:val="none"/>
        </w:rPr>
      </w:pPr>
      <w:r>
        <w:rPr>
          <w:rFonts w:hint="eastAsia" w:ascii="宋体" w:hAnsi="宋体"/>
          <w:color w:val="auto"/>
          <w:sz w:val="24"/>
          <w:highlight w:val="none"/>
        </w:rPr>
        <w:t>附：</w:t>
      </w:r>
    </w:p>
    <w:p>
      <w:pPr>
        <w:spacing w:line="480" w:lineRule="auto"/>
        <w:ind w:firstLine="960" w:firstLineChars="400"/>
        <w:rPr>
          <w:rFonts w:ascii="宋体" w:hAnsi="宋体"/>
          <w:color w:val="auto"/>
          <w:sz w:val="24"/>
          <w:highlight w:val="none"/>
        </w:rPr>
      </w:pPr>
      <w:r>
        <w:rPr>
          <w:rFonts w:hint="eastAsia" w:ascii="宋体" w:hAnsi="宋体"/>
          <w:color w:val="auto"/>
          <w:sz w:val="24"/>
          <w:highlight w:val="none"/>
        </w:rPr>
        <w:t xml:space="preserve">营业执照（注册号）： </w:t>
      </w:r>
    </w:p>
    <w:p>
      <w:pPr>
        <w:spacing w:line="480" w:lineRule="auto"/>
        <w:ind w:firstLine="960" w:firstLineChars="400"/>
        <w:rPr>
          <w:rFonts w:ascii="宋体" w:hAnsi="宋体"/>
          <w:color w:val="auto"/>
          <w:sz w:val="24"/>
          <w:highlight w:val="none"/>
        </w:rPr>
      </w:pPr>
      <w:r>
        <w:rPr>
          <w:rFonts w:hint="eastAsia" w:ascii="宋体" w:hAnsi="宋体"/>
          <w:color w:val="auto"/>
          <w:sz w:val="24"/>
          <w:highlight w:val="none"/>
        </w:rPr>
        <w:t>经济性质：</w:t>
      </w:r>
    </w:p>
    <w:p>
      <w:pPr>
        <w:spacing w:line="480" w:lineRule="auto"/>
        <w:ind w:firstLine="960" w:firstLineChars="400"/>
        <w:rPr>
          <w:rFonts w:ascii="宋体" w:hAnsi="宋体"/>
          <w:color w:val="auto"/>
          <w:sz w:val="24"/>
          <w:highlight w:val="none"/>
        </w:rPr>
      </w:pPr>
      <w:r>
        <w:rPr>
          <w:rFonts w:hint="eastAsia" w:ascii="宋体" w:hAnsi="宋体"/>
          <w:color w:val="auto"/>
          <w:sz w:val="24"/>
          <w:highlight w:val="none"/>
        </w:rPr>
        <w:t>主营（产）：</w:t>
      </w:r>
    </w:p>
    <w:p>
      <w:pPr>
        <w:spacing w:line="480" w:lineRule="auto"/>
        <w:ind w:firstLine="960" w:firstLineChars="400"/>
        <w:rPr>
          <w:rFonts w:ascii="宋体" w:hAnsi="宋体"/>
          <w:color w:val="auto"/>
          <w:sz w:val="24"/>
          <w:highlight w:val="none"/>
        </w:rPr>
      </w:pPr>
      <w:r>
        <w:rPr>
          <w:rFonts w:hint="eastAsia" w:ascii="宋体" w:hAnsi="宋体"/>
          <w:color w:val="auto"/>
          <w:sz w:val="24"/>
          <w:highlight w:val="none"/>
        </w:rPr>
        <w:t>兼营（产）：</w:t>
      </w:r>
    </w:p>
    <w:p>
      <w:pPr>
        <w:spacing w:line="360" w:lineRule="auto"/>
        <w:rPr>
          <w:rFonts w:ascii="宋体"/>
          <w:color w:val="auto"/>
          <w:sz w:val="24"/>
          <w:highlight w:val="none"/>
        </w:rPr>
      </w:pPr>
      <w:r>
        <w:rPr>
          <w:rFonts w:ascii="宋体"/>
          <w:color w:val="auto"/>
          <w:sz w:val="24"/>
          <w:highlight w:val="none"/>
        </w:rPr>
        <mc:AlternateContent>
          <mc:Choice Requires="wpg">
            <w:drawing>
              <wp:anchor distT="0" distB="0" distL="114300" distR="114300" simplePos="0" relativeHeight="251661312" behindDoc="0" locked="0" layoutInCell="1" allowOverlap="1">
                <wp:simplePos x="0" y="0"/>
                <wp:positionH relativeFrom="column">
                  <wp:posOffset>-19050</wp:posOffset>
                </wp:positionH>
                <wp:positionV relativeFrom="paragraph">
                  <wp:posOffset>217170</wp:posOffset>
                </wp:positionV>
                <wp:extent cx="5584190" cy="1487805"/>
                <wp:effectExtent l="4445" t="4445" r="12065" b="12700"/>
                <wp:wrapNone/>
                <wp:docPr id="6" name="组合 3"/>
                <wp:cNvGraphicFramePr/>
                <a:graphic xmlns:a="http://schemas.openxmlformats.org/drawingml/2006/main">
                  <a:graphicData uri="http://schemas.microsoft.com/office/word/2010/wordprocessingGroup">
                    <wpg:wgp>
                      <wpg:cNvGrpSpPr/>
                      <wpg:grpSpPr>
                        <a:xfrm>
                          <a:off x="0" y="0"/>
                          <a:ext cx="5584190" cy="1487805"/>
                          <a:chOff x="1410" y="9240"/>
                          <a:chExt cx="8794" cy="2343"/>
                        </a:xfrm>
                        <a:effectLst/>
                      </wpg:grpSpPr>
                      <wps:wsp>
                        <wps:cNvPr id="7" name="矩形 11"/>
                        <wps:cNvSpPr>
                          <a:spLocks noChangeArrowheads="1"/>
                        </wps:cNvSpPr>
                        <wps:spPr bwMode="auto">
                          <a:xfrm>
                            <a:off x="1410" y="9240"/>
                            <a:ext cx="4337" cy="2343"/>
                          </a:xfrm>
                          <a:prstGeom prst="rect">
                            <a:avLst/>
                          </a:prstGeom>
                          <a:solidFill>
                            <a:srgbClr val="FFFFFF"/>
                          </a:solidFill>
                          <a:ln w="9525">
                            <a:solidFill>
                              <a:srgbClr val="000000"/>
                            </a:solidFill>
                            <a:miter lim="800000"/>
                          </a:ln>
                          <a:effectLst/>
                        </wps:spPr>
                        <wps:txbx>
                          <w:txbxContent>
                            <w:p>
                              <w:pPr>
                                <w:jc w:val="center"/>
                                <w:rPr>
                                  <w:sz w:val="24"/>
                                </w:rPr>
                              </w:pPr>
                              <w:r>
                                <w:rPr>
                                  <w:rFonts w:hint="eastAsia"/>
                                  <w:sz w:val="24"/>
                                </w:rPr>
                                <w:t>法定代表人</w:t>
                              </w:r>
                            </w:p>
                            <w:p>
                              <w:pPr>
                                <w:jc w:val="center"/>
                                <w:rPr>
                                  <w:sz w:val="24"/>
                                </w:rPr>
                              </w:pPr>
                              <w:r>
                                <w:rPr>
                                  <w:rFonts w:hint="eastAsia"/>
                                  <w:sz w:val="24"/>
                                </w:rPr>
                                <w:t>居民身份证复印件</w:t>
                              </w:r>
                            </w:p>
                            <w:p>
                              <w:pPr>
                                <w:ind w:firstLine="1200" w:firstLineChars="500"/>
                                <w:rPr>
                                  <w:sz w:val="24"/>
                                </w:rPr>
                              </w:pPr>
                            </w:p>
                            <w:p>
                              <w:pPr>
                                <w:jc w:val="center"/>
                              </w:pPr>
                              <w:r>
                                <w:rPr>
                                  <w:rFonts w:hint="eastAsia"/>
                                  <w:sz w:val="24"/>
                                </w:rPr>
                                <w:t>（正面</w:t>
                              </w:r>
                              <w:r>
                                <w:rPr>
                                  <w:rFonts w:hint="eastAsia"/>
                                </w:rPr>
                                <w:t>）</w:t>
                              </w:r>
                            </w:p>
                            <w:p/>
                          </w:txbxContent>
                        </wps:txbx>
                        <wps:bodyPr rot="0" vert="horz" wrap="square" lIns="91440" tIns="45720" rIns="91440" bIns="45720" anchor="t" anchorCtr="0" upright="1">
                          <a:noAutofit/>
                        </wps:bodyPr>
                      </wps:wsp>
                      <wps:wsp>
                        <wps:cNvPr id="8" name="矩形 12"/>
                        <wps:cNvSpPr>
                          <a:spLocks noChangeArrowheads="1"/>
                        </wps:cNvSpPr>
                        <wps:spPr bwMode="auto">
                          <a:xfrm>
                            <a:off x="5867" y="9240"/>
                            <a:ext cx="4337" cy="2343"/>
                          </a:xfrm>
                          <a:prstGeom prst="rect">
                            <a:avLst/>
                          </a:prstGeom>
                          <a:solidFill>
                            <a:srgbClr val="FFFFFF"/>
                          </a:solidFill>
                          <a:ln w="9525">
                            <a:solidFill>
                              <a:srgbClr val="000000"/>
                            </a:solidFill>
                            <a:miter lim="800000"/>
                          </a:ln>
                          <a:effectLst/>
                        </wps:spPr>
                        <wps:txbx>
                          <w:txbxContent>
                            <w:p>
                              <w:pPr>
                                <w:jc w:val="center"/>
                                <w:rPr>
                                  <w:sz w:val="24"/>
                                </w:rPr>
                              </w:pPr>
                              <w:r>
                                <w:rPr>
                                  <w:rFonts w:hint="eastAsia"/>
                                  <w:sz w:val="24"/>
                                </w:rPr>
                                <w:t>法定代表人</w:t>
                              </w:r>
                            </w:p>
                            <w:p>
                              <w:pPr>
                                <w:jc w:val="center"/>
                                <w:rPr>
                                  <w:sz w:val="24"/>
                                </w:rPr>
                              </w:pPr>
                              <w:r>
                                <w:rPr>
                                  <w:rFonts w:hint="eastAsia"/>
                                  <w:sz w:val="24"/>
                                </w:rPr>
                                <w:t>居民身份证复印件</w:t>
                              </w:r>
                            </w:p>
                            <w:p>
                              <w:pPr>
                                <w:ind w:firstLine="1200" w:firstLineChars="500"/>
                                <w:rPr>
                                  <w:sz w:val="24"/>
                                </w:rPr>
                              </w:pPr>
                            </w:p>
                            <w:p>
                              <w:pPr>
                                <w:jc w:val="center"/>
                                <w:rPr>
                                  <w:sz w:val="24"/>
                                </w:rPr>
                              </w:pPr>
                              <w:r>
                                <w:rPr>
                                  <w:rFonts w:hint="eastAsia"/>
                                  <w:sz w:val="24"/>
                                </w:rPr>
                                <w:t>（反面）</w:t>
                              </w:r>
                            </w:p>
                            <w:p/>
                          </w:txbxContent>
                        </wps:txbx>
                        <wps:bodyPr rot="0" vert="horz" wrap="square" lIns="91440" tIns="45720" rIns="91440" bIns="45720" anchor="t" anchorCtr="0" upright="1">
                          <a:noAutofit/>
                        </wps:bodyPr>
                      </wps:wsp>
                    </wpg:wgp>
                  </a:graphicData>
                </a:graphic>
              </wp:anchor>
            </w:drawing>
          </mc:Choice>
          <mc:Fallback>
            <w:pict>
              <v:group id="组合 3" o:spid="_x0000_s1026" o:spt="203" style="position:absolute;left:0pt;margin-left:-1.5pt;margin-top:17.1pt;height:117.15pt;width:439.7pt;z-index:251661312;mso-width-relative:page;mso-height-relative:page;" coordorigin="1410,9240" coordsize="8794,2343" o:gfxdata="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ADVGjF2gAAAAkBAAAPAAAAAAAAAAEA&#10;IAAAACIAAABkcnMvZG93bnJldi54bWxQSwECFAAUAAAACACHTuJAsRAp/7gCAAAnCAAADgAAAAAA&#10;AAABACAAAAApAQAAZHJzL2Uyb0RvYy54bWxQSwUGAAAAAAYABgBZAQAAUwYAAAAA&#10;">
                <o:lock v:ext="edit" aspectratio="f"/>
                <v:rect id="矩形 11" o:spid="_x0000_s1026" o:spt="1" style="position:absolute;left:1410;top:9240;height:2343;width:4337;"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w:txbxContent>
                      <w:p>
                        <w:pPr>
                          <w:jc w:val="center"/>
                          <w:rPr>
                            <w:sz w:val="24"/>
                          </w:rPr>
                        </w:pPr>
                        <w:r>
                          <w:rPr>
                            <w:rFonts w:hint="eastAsia"/>
                            <w:sz w:val="24"/>
                          </w:rPr>
                          <w:t>法定代表人</w:t>
                        </w:r>
                      </w:p>
                      <w:p>
                        <w:pPr>
                          <w:jc w:val="center"/>
                          <w:rPr>
                            <w:sz w:val="24"/>
                          </w:rPr>
                        </w:pPr>
                        <w:r>
                          <w:rPr>
                            <w:rFonts w:hint="eastAsia"/>
                            <w:sz w:val="24"/>
                          </w:rPr>
                          <w:t>居民身份证复印件</w:t>
                        </w:r>
                      </w:p>
                      <w:p>
                        <w:pPr>
                          <w:ind w:firstLine="1200" w:firstLineChars="500"/>
                          <w:rPr>
                            <w:sz w:val="24"/>
                          </w:rPr>
                        </w:pPr>
                      </w:p>
                      <w:p>
                        <w:pPr>
                          <w:jc w:val="center"/>
                        </w:pPr>
                        <w:r>
                          <w:rPr>
                            <w:rFonts w:hint="eastAsia"/>
                            <w:sz w:val="24"/>
                          </w:rPr>
                          <w:t>（正面</w:t>
                        </w:r>
                        <w:r>
                          <w:rPr>
                            <w:rFonts w:hint="eastAsia"/>
                          </w:rPr>
                          <w:t>）</w:t>
                        </w:r>
                      </w:p>
                      <w:p/>
                    </w:txbxContent>
                  </v:textbox>
                </v:rect>
                <v:rect id="矩形 12" o:spid="_x0000_s1026" o:spt="1" style="position:absolute;left:5867;top:9240;height:2343;width:4337;"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w:txbxContent>
                      <w:p>
                        <w:pPr>
                          <w:jc w:val="center"/>
                          <w:rPr>
                            <w:sz w:val="24"/>
                          </w:rPr>
                        </w:pPr>
                        <w:r>
                          <w:rPr>
                            <w:rFonts w:hint="eastAsia"/>
                            <w:sz w:val="24"/>
                          </w:rPr>
                          <w:t>法定代表人</w:t>
                        </w:r>
                      </w:p>
                      <w:p>
                        <w:pPr>
                          <w:jc w:val="center"/>
                          <w:rPr>
                            <w:sz w:val="24"/>
                          </w:rPr>
                        </w:pPr>
                        <w:r>
                          <w:rPr>
                            <w:rFonts w:hint="eastAsia"/>
                            <w:sz w:val="24"/>
                          </w:rPr>
                          <w:t>居民身份证复印件</w:t>
                        </w:r>
                      </w:p>
                      <w:p>
                        <w:pPr>
                          <w:ind w:firstLine="1200" w:firstLineChars="500"/>
                          <w:rPr>
                            <w:sz w:val="24"/>
                          </w:rPr>
                        </w:pPr>
                      </w:p>
                      <w:p>
                        <w:pPr>
                          <w:jc w:val="center"/>
                          <w:rPr>
                            <w:sz w:val="24"/>
                          </w:rPr>
                        </w:pPr>
                        <w:r>
                          <w:rPr>
                            <w:rFonts w:hint="eastAsia"/>
                            <w:sz w:val="24"/>
                          </w:rPr>
                          <w:t>（反面）</w:t>
                        </w:r>
                      </w:p>
                      <w:p/>
                    </w:txbxContent>
                  </v:textbox>
                </v:rect>
              </v:group>
            </w:pict>
          </mc:Fallback>
        </mc:AlternateContent>
      </w:r>
    </w:p>
    <w:p>
      <w:pPr>
        <w:spacing w:line="360" w:lineRule="auto"/>
        <w:rPr>
          <w:rFonts w:ascii="宋体"/>
          <w:color w:val="auto"/>
          <w:sz w:val="24"/>
          <w:highlight w:val="none"/>
        </w:rPr>
      </w:pPr>
    </w:p>
    <w:p>
      <w:pPr>
        <w:spacing w:line="360" w:lineRule="auto"/>
        <w:rPr>
          <w:rFonts w:ascii="宋体"/>
          <w:color w:val="auto"/>
          <w:sz w:val="24"/>
          <w:highlight w:val="none"/>
        </w:rPr>
      </w:pPr>
    </w:p>
    <w:p>
      <w:pPr>
        <w:spacing w:line="360" w:lineRule="auto"/>
        <w:rPr>
          <w:rFonts w:ascii="宋体"/>
          <w:color w:val="auto"/>
          <w:sz w:val="24"/>
          <w:highlight w:val="none"/>
        </w:rPr>
      </w:pPr>
    </w:p>
    <w:p>
      <w:pPr>
        <w:spacing w:line="500" w:lineRule="exact"/>
        <w:rPr>
          <w:rFonts w:ascii="宋体"/>
          <w:b/>
          <w:bCs/>
          <w:color w:val="auto"/>
          <w:sz w:val="24"/>
          <w:highlight w:val="none"/>
        </w:rPr>
      </w:pPr>
    </w:p>
    <w:p>
      <w:pPr>
        <w:spacing w:line="500" w:lineRule="exact"/>
        <w:rPr>
          <w:rFonts w:ascii="宋体"/>
          <w:b/>
          <w:bCs/>
          <w:color w:val="auto"/>
          <w:sz w:val="24"/>
          <w:highlight w:val="none"/>
        </w:rPr>
      </w:pPr>
    </w:p>
    <w:p>
      <w:pPr>
        <w:spacing w:line="500" w:lineRule="exact"/>
        <w:rPr>
          <w:rFonts w:ascii="宋体"/>
          <w:b/>
          <w:bCs/>
          <w:color w:val="auto"/>
          <w:sz w:val="24"/>
          <w:highlight w:val="none"/>
        </w:rPr>
      </w:pPr>
    </w:p>
    <w:p>
      <w:pPr>
        <w:spacing w:line="500" w:lineRule="exact"/>
        <w:ind w:firstLine="5160" w:firstLineChars="2150"/>
        <w:rPr>
          <w:rFonts w:ascii="宋体" w:hAnsi="宋体"/>
          <w:color w:val="auto"/>
          <w:sz w:val="24"/>
          <w:highlight w:val="none"/>
        </w:rPr>
      </w:pPr>
      <w:r>
        <w:rPr>
          <w:rFonts w:hint="eastAsia" w:ascii="宋体" w:hAnsi="宋体"/>
          <w:color w:val="auto"/>
          <w:sz w:val="24"/>
          <w:highlight w:val="none"/>
        </w:rPr>
        <w:t>投标人名称（单位盖</w:t>
      </w:r>
      <w:r>
        <w:rPr>
          <w:rFonts w:hint="eastAsia"/>
          <w:color w:val="auto"/>
          <w:spacing w:val="4"/>
          <w:sz w:val="24"/>
          <w:highlight w:val="none"/>
        </w:rPr>
        <w:t>公章</w:t>
      </w:r>
      <w:r>
        <w:rPr>
          <w:rFonts w:hint="eastAsia" w:ascii="宋体" w:hAnsi="宋体"/>
          <w:color w:val="auto"/>
          <w:sz w:val="24"/>
          <w:highlight w:val="none"/>
        </w:rPr>
        <w:t>）：</w:t>
      </w:r>
    </w:p>
    <w:p>
      <w:pPr>
        <w:spacing w:line="500" w:lineRule="exact"/>
        <w:rPr>
          <w:rFonts w:ascii="宋体" w:hAnsi="宋体"/>
          <w:color w:val="auto"/>
          <w:sz w:val="24"/>
          <w:highlight w:val="none"/>
        </w:rPr>
      </w:pPr>
      <w:r>
        <w:rPr>
          <w:rFonts w:hint="eastAsia" w:ascii="宋体" w:hAnsi="宋体"/>
          <w:color w:val="auto"/>
          <w:sz w:val="24"/>
          <w:highlight w:val="none"/>
        </w:rPr>
        <w:t xml:space="preserve">                                           地址：</w:t>
      </w:r>
    </w:p>
    <w:p>
      <w:pPr>
        <w:spacing w:line="500" w:lineRule="exact"/>
        <w:rPr>
          <w:rFonts w:ascii="宋体"/>
          <w:b/>
          <w:bCs/>
          <w:color w:val="auto"/>
          <w:sz w:val="24"/>
          <w:highlight w:val="none"/>
        </w:rPr>
      </w:pPr>
      <w:r>
        <w:rPr>
          <w:rFonts w:hint="eastAsia" w:ascii="宋体" w:hAnsi="宋体"/>
          <w:color w:val="auto"/>
          <w:sz w:val="24"/>
          <w:highlight w:val="none"/>
        </w:rPr>
        <w:t xml:space="preserve">                                           签发日期：</w:t>
      </w:r>
    </w:p>
    <w:p>
      <w:pPr>
        <w:numPr>
          <w:ilvl w:val="0"/>
          <w:numId w:val="110"/>
        </w:numPr>
        <w:spacing w:line="440" w:lineRule="exact"/>
        <w:rPr>
          <w:rFonts w:ascii="宋体"/>
          <w:bCs/>
          <w:color w:val="auto"/>
          <w:sz w:val="24"/>
          <w:highlight w:val="none"/>
        </w:rPr>
      </w:pPr>
      <w:r>
        <w:rPr>
          <w:rFonts w:ascii="宋体"/>
          <w:b/>
          <w:bCs/>
          <w:color w:val="auto"/>
          <w:sz w:val="24"/>
          <w:highlight w:val="none"/>
        </w:rPr>
        <w:br w:type="page"/>
      </w:r>
      <w:bookmarkStart w:id="89" w:name="_Toc50691038"/>
      <w:bookmarkStart w:id="90" w:name="_Toc50737330"/>
      <w:bookmarkStart w:id="91" w:name="_Toc275865609"/>
      <w:bookmarkStart w:id="92" w:name="_Toc52165082"/>
      <w:bookmarkStart w:id="93" w:name="_Toc50737298"/>
      <w:bookmarkStart w:id="94" w:name="_Toc50736478"/>
      <w:bookmarkStart w:id="95" w:name="_Toc87417460"/>
      <w:bookmarkStart w:id="96" w:name="_Toc170699948"/>
      <w:bookmarkStart w:id="97" w:name="_Toc239051894"/>
    </w:p>
    <w:bookmarkEnd w:id="89"/>
    <w:bookmarkEnd w:id="90"/>
    <w:bookmarkEnd w:id="91"/>
    <w:bookmarkEnd w:id="92"/>
    <w:bookmarkEnd w:id="93"/>
    <w:bookmarkEnd w:id="94"/>
    <w:bookmarkEnd w:id="95"/>
    <w:bookmarkEnd w:id="96"/>
    <w:bookmarkEnd w:id="97"/>
    <w:p>
      <w:pPr>
        <w:tabs>
          <w:tab w:val="left" w:pos="142"/>
        </w:tabs>
        <w:autoSpaceDE w:val="0"/>
        <w:autoSpaceDN w:val="0"/>
        <w:spacing w:line="360" w:lineRule="auto"/>
        <w:ind w:left="-2" w:leftChars="-1" w:firstLine="2"/>
        <w:jc w:val="center"/>
        <w:outlineLvl w:val="3"/>
        <w:rPr>
          <w:rFonts w:ascii="黑体" w:hAnsi="黑体" w:eastAsia="黑体"/>
          <w:color w:val="auto"/>
          <w:sz w:val="32"/>
          <w:szCs w:val="32"/>
          <w:highlight w:val="none"/>
        </w:rPr>
      </w:pPr>
      <w:bookmarkStart w:id="98" w:name="_Toc275865613"/>
      <w:bookmarkStart w:id="99" w:name="_Toc50737337"/>
      <w:bookmarkStart w:id="100" w:name="_Toc50736485"/>
      <w:bookmarkStart w:id="101" w:name="_Toc435514867"/>
      <w:bookmarkStart w:id="102" w:name="_Toc52165089"/>
      <w:bookmarkStart w:id="103" w:name="_Toc50691051"/>
      <w:bookmarkStart w:id="104" w:name="_Toc50737305"/>
      <w:bookmarkStart w:id="105" w:name="_Toc435515307"/>
      <w:r>
        <w:rPr>
          <w:rFonts w:hint="eastAsia" w:ascii="黑体" w:hAnsi="黑体" w:eastAsia="黑体"/>
          <w:color w:val="auto"/>
          <w:sz w:val="32"/>
          <w:szCs w:val="32"/>
          <w:highlight w:val="none"/>
        </w:rPr>
        <w:t>采购需求条款响应一览表</w:t>
      </w:r>
      <w:bookmarkEnd w:id="98"/>
      <w:bookmarkEnd w:id="99"/>
      <w:bookmarkEnd w:id="100"/>
      <w:bookmarkEnd w:id="101"/>
      <w:bookmarkEnd w:id="102"/>
      <w:bookmarkEnd w:id="103"/>
      <w:bookmarkEnd w:id="104"/>
      <w:bookmarkEnd w:id="105"/>
    </w:p>
    <w:p>
      <w:pPr>
        <w:spacing w:line="400" w:lineRule="exact"/>
        <w:rPr>
          <w:rFonts w:ascii="宋体" w:hAnsi="宋体"/>
          <w:color w:val="auto"/>
          <w:sz w:val="24"/>
          <w:highlight w:val="none"/>
        </w:rPr>
      </w:pPr>
      <w:r>
        <w:rPr>
          <w:rFonts w:hint="eastAsia" w:ascii="宋体" w:hAnsi="宋体"/>
          <w:color w:val="auto"/>
          <w:sz w:val="24"/>
          <w:highlight w:val="none"/>
        </w:rPr>
        <w:t>说明：</w:t>
      </w:r>
    </w:p>
    <w:p>
      <w:pPr>
        <w:pStyle w:val="24"/>
        <w:numPr>
          <w:ilvl w:val="0"/>
          <w:numId w:val="111"/>
        </w:numPr>
        <w:snapToGrid w:val="0"/>
        <w:spacing w:line="360" w:lineRule="auto"/>
        <w:ind w:firstLineChars="0"/>
        <w:rPr>
          <w:rFonts w:ascii="宋体" w:hAnsi="宋体"/>
          <w:color w:val="auto"/>
          <w:sz w:val="24"/>
          <w:highlight w:val="none"/>
        </w:rPr>
      </w:pPr>
      <w:r>
        <w:rPr>
          <w:rFonts w:hint="eastAsia" w:ascii="宋体" w:hAnsi="宋体"/>
          <w:color w:val="auto"/>
          <w:sz w:val="24"/>
          <w:highlight w:val="none"/>
        </w:rPr>
        <w:t>投标人必须对应招标文件条款逐条应答并按要求填写下表。</w:t>
      </w:r>
    </w:p>
    <w:p>
      <w:pPr>
        <w:pStyle w:val="24"/>
        <w:numPr>
          <w:ilvl w:val="0"/>
          <w:numId w:val="111"/>
        </w:numPr>
        <w:snapToGrid w:val="0"/>
        <w:spacing w:line="360" w:lineRule="auto"/>
        <w:ind w:firstLineChars="0"/>
        <w:rPr>
          <w:rFonts w:ascii="宋体" w:hAnsi="宋体"/>
          <w:color w:val="auto"/>
          <w:sz w:val="24"/>
          <w:highlight w:val="none"/>
        </w:rPr>
      </w:pPr>
      <w:r>
        <w:rPr>
          <w:rFonts w:hint="eastAsia" w:ascii="宋体" w:hAnsi="宋体"/>
          <w:color w:val="auto"/>
          <w:sz w:val="24"/>
          <w:highlight w:val="none"/>
        </w:rPr>
        <w:t>投标人响应描述：</w:t>
      </w:r>
      <w:r>
        <w:rPr>
          <w:rFonts w:hint="eastAsia" w:ascii="宋体" w:hAnsi="宋体"/>
          <w:bCs/>
          <w:color w:val="auto"/>
          <w:sz w:val="24"/>
          <w:highlight w:val="none"/>
        </w:rPr>
        <w:t>投标人按响应货物/服务实际数据填写。</w:t>
      </w:r>
    </w:p>
    <w:p>
      <w:pPr>
        <w:pStyle w:val="24"/>
        <w:numPr>
          <w:ilvl w:val="0"/>
          <w:numId w:val="111"/>
        </w:numPr>
        <w:snapToGrid w:val="0"/>
        <w:spacing w:line="360" w:lineRule="auto"/>
        <w:ind w:firstLineChars="0"/>
        <w:rPr>
          <w:rFonts w:ascii="宋体" w:hAnsi="宋体"/>
          <w:bCs/>
          <w:color w:val="auto"/>
          <w:sz w:val="24"/>
          <w:highlight w:val="none"/>
        </w:rPr>
      </w:pPr>
      <w:r>
        <w:rPr>
          <w:rFonts w:hint="eastAsia" w:ascii="宋体" w:hAnsi="宋体"/>
          <w:bCs/>
          <w:color w:val="auto"/>
          <w:sz w:val="24"/>
          <w:highlight w:val="none"/>
        </w:rPr>
        <w:t>投标人应按招标文件要求附相关证明文件，如有任何一项不响应或不满足的视为负偏离。</w:t>
      </w:r>
    </w:p>
    <w:p>
      <w:pPr>
        <w:pStyle w:val="24"/>
        <w:numPr>
          <w:ilvl w:val="0"/>
          <w:numId w:val="111"/>
        </w:numPr>
        <w:snapToGrid w:val="0"/>
        <w:spacing w:line="360" w:lineRule="auto"/>
        <w:ind w:firstLineChars="0"/>
        <w:rPr>
          <w:rFonts w:ascii="宋体" w:hAnsi="宋体"/>
          <w:bCs/>
          <w:snapToGrid w:val="0"/>
          <w:color w:val="auto"/>
          <w:sz w:val="24"/>
          <w:highlight w:val="none"/>
        </w:rPr>
      </w:pPr>
      <w:r>
        <w:rPr>
          <w:rFonts w:hint="eastAsia" w:ascii="宋体" w:hAnsi="宋体"/>
          <w:snapToGrid w:val="0"/>
          <w:color w:val="auto"/>
          <w:sz w:val="24"/>
          <w:highlight w:val="none"/>
        </w:rPr>
        <w:t>偏离情况说明：投标人根据投标人实际情况填写“</w:t>
      </w:r>
      <w:r>
        <w:rPr>
          <w:rFonts w:hint="eastAsia"/>
          <w:snapToGrid w:val="0"/>
          <w:color w:val="auto"/>
          <w:sz w:val="24"/>
          <w:highlight w:val="none"/>
        </w:rPr>
        <w:t>正偏离”“完全响应”或“负偏离</w:t>
      </w:r>
      <w:r>
        <w:rPr>
          <w:rFonts w:hint="eastAsia" w:ascii="宋体" w:hAnsi="宋体"/>
          <w:snapToGrid w:val="0"/>
          <w:color w:val="auto"/>
          <w:sz w:val="24"/>
          <w:highlight w:val="none"/>
        </w:rPr>
        <w:t>”。</w:t>
      </w:r>
    </w:p>
    <w:p>
      <w:pPr>
        <w:widowControl/>
        <w:snapToGrid w:val="0"/>
        <w:spacing w:line="360" w:lineRule="auto"/>
        <w:jc w:val="left"/>
        <w:rPr>
          <w:rFonts w:ascii="宋体" w:hAnsi="宋体"/>
          <w:color w:val="auto"/>
          <w:sz w:val="24"/>
          <w:highlight w:val="none"/>
        </w:rPr>
      </w:pPr>
    </w:p>
    <w:p>
      <w:pPr>
        <w:widowControl/>
        <w:snapToGrid w:val="0"/>
        <w:spacing w:line="360" w:lineRule="auto"/>
        <w:jc w:val="left"/>
        <w:rPr>
          <w:rFonts w:ascii="宋体" w:hAnsi="宋体"/>
          <w:color w:val="auto"/>
          <w:sz w:val="24"/>
          <w:highlight w:val="none"/>
        </w:rPr>
      </w:pPr>
      <w:r>
        <w:rPr>
          <w:rFonts w:hint="eastAsia" w:ascii="宋体" w:hAnsi="宋体"/>
          <w:color w:val="auto"/>
          <w:sz w:val="24"/>
          <w:highlight w:val="none"/>
        </w:rPr>
        <w:t>项目名称：2020-2021年食品安全监督抽检项目</w:t>
      </w:r>
    </w:p>
    <w:p>
      <w:pPr>
        <w:widowControl/>
        <w:snapToGrid w:val="0"/>
        <w:spacing w:line="360" w:lineRule="auto"/>
        <w:jc w:val="left"/>
        <w:rPr>
          <w:rFonts w:ascii="宋体" w:hAnsi="宋体"/>
          <w:color w:val="auto"/>
          <w:sz w:val="24"/>
          <w:highlight w:val="none"/>
        </w:rPr>
      </w:pPr>
      <w:r>
        <w:rPr>
          <w:rFonts w:hint="eastAsia" w:ascii="宋体" w:hAnsi="宋体"/>
          <w:color w:val="auto"/>
          <w:sz w:val="24"/>
          <w:highlight w:val="none"/>
        </w:rPr>
        <w:t xml:space="preserve">包组号： </w:t>
      </w: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2786"/>
        <w:gridCol w:w="2175"/>
        <w:gridCol w:w="2029"/>
        <w:gridCol w:w="134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692" w:type="dxa"/>
            <w:tcBorders>
              <w:top w:val="single" w:color="auto" w:sz="12" w:space="0"/>
              <w:bottom w:val="double" w:color="auto" w:sz="4" w:space="0"/>
            </w:tcBorders>
            <w:shd w:val="clear" w:color="auto" w:fill="EEECE1"/>
            <w:vAlign w:val="center"/>
          </w:tcPr>
          <w:p>
            <w:pPr>
              <w:snapToGrid w:val="0"/>
              <w:ind w:left="-68" w:leftChars="-34" w:right="-70" w:rightChars="-35"/>
              <w:jc w:val="center"/>
              <w:rPr>
                <w:rFonts w:ascii="宋体" w:hAnsi="宋体"/>
                <w:color w:val="auto"/>
                <w:sz w:val="24"/>
                <w:highlight w:val="none"/>
              </w:rPr>
            </w:pPr>
            <w:r>
              <w:rPr>
                <w:rFonts w:hint="eastAsia" w:ascii="宋体" w:hAnsi="宋体"/>
                <w:color w:val="auto"/>
                <w:sz w:val="24"/>
                <w:highlight w:val="none"/>
              </w:rPr>
              <w:t>序号</w:t>
            </w:r>
          </w:p>
        </w:tc>
        <w:tc>
          <w:tcPr>
            <w:tcW w:w="2786" w:type="dxa"/>
            <w:tcBorders>
              <w:top w:val="single" w:color="auto" w:sz="12" w:space="0"/>
              <w:bottom w:val="double" w:color="auto" w:sz="4" w:space="0"/>
            </w:tcBorders>
            <w:shd w:val="clear" w:color="auto" w:fill="EEECE1"/>
            <w:vAlign w:val="center"/>
          </w:tcPr>
          <w:p>
            <w:pPr>
              <w:snapToGrid w:val="0"/>
              <w:ind w:left="-68" w:leftChars="-34" w:right="-70" w:rightChars="-35"/>
              <w:jc w:val="center"/>
              <w:rPr>
                <w:rFonts w:ascii="宋体" w:hAnsi="宋体"/>
                <w:color w:val="auto"/>
                <w:sz w:val="24"/>
                <w:highlight w:val="none"/>
              </w:rPr>
            </w:pPr>
            <w:r>
              <w:rPr>
                <w:rFonts w:hint="eastAsia" w:ascii="宋体" w:hAnsi="宋体"/>
                <w:color w:val="auto"/>
                <w:sz w:val="24"/>
                <w:highlight w:val="none"/>
              </w:rPr>
              <w:t>招标文件条款描述</w:t>
            </w:r>
          </w:p>
        </w:tc>
        <w:tc>
          <w:tcPr>
            <w:tcW w:w="2175" w:type="dxa"/>
            <w:tcBorders>
              <w:top w:val="single" w:color="auto" w:sz="12" w:space="0"/>
              <w:bottom w:val="double" w:color="auto" w:sz="4" w:space="0"/>
            </w:tcBorders>
            <w:shd w:val="clear" w:color="auto" w:fill="EEECE1"/>
            <w:vAlign w:val="center"/>
          </w:tcPr>
          <w:p>
            <w:pPr>
              <w:snapToGrid w:val="0"/>
              <w:ind w:left="-68" w:leftChars="-34" w:right="-70" w:rightChars="-35"/>
              <w:jc w:val="center"/>
              <w:rPr>
                <w:rFonts w:ascii="宋体" w:hAnsi="宋体"/>
                <w:color w:val="auto"/>
                <w:sz w:val="24"/>
                <w:highlight w:val="none"/>
              </w:rPr>
            </w:pPr>
            <w:r>
              <w:rPr>
                <w:rFonts w:hint="eastAsia" w:ascii="宋体" w:hAnsi="宋体"/>
                <w:color w:val="auto"/>
                <w:sz w:val="24"/>
                <w:highlight w:val="none"/>
              </w:rPr>
              <w:t>投标人响应描述</w:t>
            </w:r>
          </w:p>
        </w:tc>
        <w:tc>
          <w:tcPr>
            <w:tcW w:w="2029" w:type="dxa"/>
            <w:tcBorders>
              <w:top w:val="single" w:color="auto" w:sz="12" w:space="0"/>
              <w:bottom w:val="double" w:color="auto" w:sz="4" w:space="0"/>
            </w:tcBorders>
            <w:shd w:val="clear" w:color="auto" w:fill="EEECE1"/>
            <w:vAlign w:val="center"/>
          </w:tcPr>
          <w:p>
            <w:pPr>
              <w:snapToGrid w:val="0"/>
              <w:ind w:left="-68" w:leftChars="-34" w:right="-70" w:rightChars="-35"/>
              <w:jc w:val="center"/>
              <w:rPr>
                <w:rFonts w:ascii="宋体" w:hAnsi="宋体"/>
                <w:color w:val="auto"/>
                <w:sz w:val="24"/>
                <w:highlight w:val="none"/>
              </w:rPr>
            </w:pPr>
            <w:r>
              <w:rPr>
                <w:rFonts w:hint="eastAsia" w:ascii="宋体" w:hAnsi="宋体"/>
                <w:color w:val="auto"/>
                <w:sz w:val="24"/>
                <w:highlight w:val="none"/>
              </w:rPr>
              <w:t>偏离情况说明</w:t>
            </w:r>
          </w:p>
        </w:tc>
        <w:tc>
          <w:tcPr>
            <w:tcW w:w="1344" w:type="dxa"/>
            <w:tcBorders>
              <w:top w:val="single" w:color="auto" w:sz="12" w:space="0"/>
              <w:bottom w:val="double" w:color="auto" w:sz="4" w:space="0"/>
            </w:tcBorders>
            <w:shd w:val="clear" w:color="auto" w:fill="EEECE1"/>
            <w:vAlign w:val="center"/>
          </w:tcPr>
          <w:p>
            <w:pPr>
              <w:snapToGrid w:val="0"/>
              <w:ind w:left="-68" w:leftChars="-34" w:right="-70" w:rightChars="-35"/>
              <w:jc w:val="center"/>
              <w:rPr>
                <w:rFonts w:ascii="宋体" w:hAnsi="宋体"/>
                <w:color w:val="auto"/>
                <w:sz w:val="24"/>
                <w:highlight w:val="none"/>
              </w:rPr>
            </w:pPr>
            <w:r>
              <w:rPr>
                <w:rFonts w:hint="eastAsia" w:ascii="宋体" w:hAnsi="宋体"/>
                <w:color w:val="auto"/>
                <w:sz w:val="24"/>
                <w:highlight w:val="none"/>
              </w:rPr>
              <w:t>查阅/证明文件指引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9026" w:type="dxa"/>
            <w:gridSpan w:val="5"/>
            <w:vAlign w:val="center"/>
          </w:tcPr>
          <w:p>
            <w:pPr>
              <w:spacing w:line="400" w:lineRule="exact"/>
              <w:jc w:val="left"/>
              <w:rPr>
                <w:rFonts w:ascii="宋体" w:hAnsi="宋体"/>
                <w:b/>
                <w:color w:val="auto"/>
                <w:sz w:val="24"/>
                <w:highlight w:val="none"/>
              </w:rPr>
            </w:pPr>
            <w:r>
              <w:rPr>
                <w:rFonts w:hint="eastAsia"/>
                <w:b/>
                <w:color w:val="auto"/>
                <w:sz w:val="24"/>
                <w:highlight w:val="none"/>
              </w:rPr>
              <w:t>（一）标注“★”的实质性</w:t>
            </w:r>
            <w:r>
              <w:rPr>
                <w:rFonts w:hint="eastAsia" w:ascii="宋体" w:hAnsi="宋体"/>
                <w:b/>
                <w:color w:val="auto"/>
                <w:sz w:val="24"/>
                <w:highlight w:val="none"/>
              </w:rPr>
              <w:t>条款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692" w:type="dxa"/>
            <w:vAlign w:val="center"/>
          </w:tcPr>
          <w:p>
            <w:pPr>
              <w:numPr>
                <w:ilvl w:val="0"/>
                <w:numId w:val="112"/>
              </w:numPr>
              <w:jc w:val="center"/>
              <w:rPr>
                <w:rFonts w:ascii="宋体" w:hAnsi="宋体"/>
                <w:color w:val="auto"/>
                <w:sz w:val="24"/>
                <w:highlight w:val="none"/>
              </w:rPr>
            </w:pPr>
          </w:p>
        </w:tc>
        <w:tc>
          <w:tcPr>
            <w:tcW w:w="2786" w:type="dxa"/>
            <w:vAlign w:val="center"/>
          </w:tcPr>
          <w:p>
            <w:pPr>
              <w:spacing w:line="400" w:lineRule="exact"/>
              <w:jc w:val="left"/>
              <w:rPr>
                <w:rFonts w:hint="eastAsia" w:ascii="宋体" w:hAnsi="宋体" w:eastAsia="宋体"/>
                <w:color w:val="auto"/>
                <w:sz w:val="24"/>
                <w:highlight w:val="none"/>
                <w:lang w:eastAsia="zh-CN"/>
              </w:rPr>
            </w:pPr>
            <w:r>
              <w:rPr>
                <w:rFonts w:hint="eastAsia" w:ascii="宋体"/>
                <w:b/>
                <w:color w:val="auto"/>
                <w:sz w:val="24"/>
                <w:highlight w:val="none"/>
              </w:rPr>
              <w:t>履行期限</w:t>
            </w:r>
            <w:r>
              <w:rPr>
                <w:rFonts w:hint="eastAsia" w:ascii="宋体"/>
                <w:b/>
                <w:color w:val="auto"/>
                <w:sz w:val="24"/>
                <w:highlight w:val="none"/>
                <w:lang w:eastAsia="zh-CN"/>
              </w:rPr>
              <w:t>：</w:t>
            </w:r>
            <w:r>
              <w:rPr>
                <w:rFonts w:hint="eastAsia" w:ascii="宋体"/>
                <w:bCs/>
                <w:color w:val="auto"/>
                <w:sz w:val="24"/>
                <w:highlight w:val="none"/>
              </w:rPr>
              <w:t>自合同签订之日起一年内</w:t>
            </w:r>
          </w:p>
        </w:tc>
        <w:tc>
          <w:tcPr>
            <w:tcW w:w="2175" w:type="dxa"/>
            <w:vAlign w:val="center"/>
          </w:tcPr>
          <w:p>
            <w:pPr>
              <w:spacing w:line="400" w:lineRule="exact"/>
              <w:jc w:val="center"/>
              <w:rPr>
                <w:rFonts w:ascii="宋体" w:hAnsi="宋体"/>
                <w:color w:val="auto"/>
                <w:sz w:val="24"/>
                <w:highlight w:val="none"/>
              </w:rPr>
            </w:pPr>
          </w:p>
        </w:tc>
        <w:tc>
          <w:tcPr>
            <w:tcW w:w="2029" w:type="dxa"/>
            <w:vAlign w:val="center"/>
          </w:tcPr>
          <w:p>
            <w:pPr>
              <w:spacing w:line="400" w:lineRule="exact"/>
              <w:jc w:val="center"/>
              <w:rPr>
                <w:rFonts w:ascii="宋体" w:hAnsi="宋体"/>
                <w:color w:val="auto"/>
                <w:sz w:val="24"/>
                <w:highlight w:val="none"/>
              </w:rPr>
            </w:pPr>
          </w:p>
        </w:tc>
        <w:tc>
          <w:tcPr>
            <w:tcW w:w="1344" w:type="dxa"/>
            <w:vAlign w:val="center"/>
          </w:tcPr>
          <w:p>
            <w:pPr>
              <w:spacing w:line="400" w:lineRule="exact"/>
              <w:jc w:val="center"/>
              <w:rPr>
                <w:rFonts w:ascii="宋体" w:hAnsi="宋体"/>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9026" w:type="dxa"/>
            <w:gridSpan w:val="5"/>
            <w:vAlign w:val="center"/>
          </w:tcPr>
          <w:p>
            <w:pPr>
              <w:spacing w:line="400" w:lineRule="exact"/>
              <w:jc w:val="left"/>
              <w:rPr>
                <w:rFonts w:ascii="宋体" w:hAnsi="宋体"/>
                <w:b/>
                <w:color w:val="auto"/>
                <w:sz w:val="24"/>
                <w:highlight w:val="none"/>
              </w:rPr>
            </w:pPr>
            <w:r>
              <w:rPr>
                <w:rFonts w:hint="eastAsia" w:ascii="宋体" w:hAnsi="宋体"/>
                <w:b/>
                <w:color w:val="auto"/>
                <w:sz w:val="24"/>
                <w:highlight w:val="none"/>
              </w:rPr>
              <w:t>（</w:t>
            </w:r>
            <w:r>
              <w:rPr>
                <w:rFonts w:hint="eastAsia" w:ascii="宋体" w:hAnsi="宋体"/>
                <w:b/>
                <w:color w:val="auto"/>
                <w:sz w:val="24"/>
                <w:highlight w:val="none"/>
                <w:lang w:eastAsia="zh-CN"/>
              </w:rPr>
              <w:t>二</w:t>
            </w:r>
            <w:r>
              <w:rPr>
                <w:rFonts w:hint="eastAsia" w:ascii="宋体" w:hAnsi="宋体"/>
                <w:b/>
                <w:color w:val="auto"/>
                <w:sz w:val="24"/>
                <w:highlight w:val="none"/>
              </w:rPr>
              <w:t>）</w:t>
            </w:r>
            <w:r>
              <w:rPr>
                <w:rFonts w:hint="eastAsia" w:ascii="宋体" w:hAnsi="宋体"/>
                <w:b/>
                <w:color w:val="auto"/>
                <w:sz w:val="24"/>
                <w:highlight w:val="none"/>
                <w:lang w:val="en-US" w:eastAsia="zh-CN"/>
              </w:rPr>
              <w:t>服务</w:t>
            </w:r>
            <w:r>
              <w:rPr>
                <w:rFonts w:hint="eastAsia" w:ascii="宋体" w:hAnsi="宋体"/>
                <w:b/>
                <w:color w:val="auto"/>
                <w:sz w:val="24"/>
                <w:highlight w:val="none"/>
              </w:rPr>
              <w:t>条款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692" w:type="dxa"/>
            <w:vAlign w:val="center"/>
          </w:tcPr>
          <w:p>
            <w:pPr>
              <w:numPr>
                <w:ilvl w:val="0"/>
                <w:numId w:val="113"/>
              </w:numPr>
              <w:jc w:val="center"/>
              <w:rPr>
                <w:rFonts w:ascii="宋体" w:hAnsi="宋体"/>
                <w:color w:val="auto"/>
                <w:sz w:val="24"/>
                <w:highlight w:val="none"/>
              </w:rPr>
            </w:pPr>
          </w:p>
        </w:tc>
        <w:tc>
          <w:tcPr>
            <w:tcW w:w="2786" w:type="dxa"/>
            <w:vAlign w:val="center"/>
          </w:tcPr>
          <w:p>
            <w:pPr>
              <w:spacing w:line="400" w:lineRule="exact"/>
              <w:jc w:val="center"/>
              <w:rPr>
                <w:rFonts w:ascii="宋体" w:hAnsi="宋体"/>
                <w:color w:val="auto"/>
                <w:sz w:val="24"/>
                <w:highlight w:val="none"/>
              </w:rPr>
            </w:pPr>
          </w:p>
        </w:tc>
        <w:tc>
          <w:tcPr>
            <w:tcW w:w="2175" w:type="dxa"/>
            <w:vAlign w:val="center"/>
          </w:tcPr>
          <w:p>
            <w:pPr>
              <w:spacing w:line="400" w:lineRule="exact"/>
              <w:jc w:val="center"/>
              <w:rPr>
                <w:rFonts w:ascii="宋体" w:hAnsi="宋体"/>
                <w:color w:val="auto"/>
                <w:sz w:val="24"/>
                <w:highlight w:val="none"/>
              </w:rPr>
            </w:pPr>
          </w:p>
        </w:tc>
        <w:tc>
          <w:tcPr>
            <w:tcW w:w="2029" w:type="dxa"/>
            <w:vAlign w:val="center"/>
          </w:tcPr>
          <w:p>
            <w:pPr>
              <w:spacing w:line="400" w:lineRule="exact"/>
              <w:jc w:val="center"/>
              <w:rPr>
                <w:rFonts w:ascii="宋体" w:hAnsi="宋体"/>
                <w:color w:val="auto"/>
                <w:sz w:val="24"/>
                <w:highlight w:val="none"/>
              </w:rPr>
            </w:pPr>
          </w:p>
        </w:tc>
        <w:tc>
          <w:tcPr>
            <w:tcW w:w="1344" w:type="dxa"/>
            <w:vAlign w:val="center"/>
          </w:tcPr>
          <w:p>
            <w:pPr>
              <w:spacing w:line="400" w:lineRule="exact"/>
              <w:jc w:val="center"/>
              <w:rPr>
                <w:rFonts w:ascii="宋体" w:hAnsi="宋体"/>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692" w:type="dxa"/>
            <w:vAlign w:val="center"/>
          </w:tcPr>
          <w:p>
            <w:pPr>
              <w:numPr>
                <w:ilvl w:val="0"/>
                <w:numId w:val="113"/>
              </w:numPr>
              <w:jc w:val="center"/>
              <w:rPr>
                <w:rFonts w:ascii="宋体" w:hAnsi="宋体"/>
                <w:color w:val="auto"/>
                <w:sz w:val="24"/>
                <w:highlight w:val="none"/>
              </w:rPr>
            </w:pPr>
          </w:p>
        </w:tc>
        <w:tc>
          <w:tcPr>
            <w:tcW w:w="2786" w:type="dxa"/>
            <w:vAlign w:val="center"/>
          </w:tcPr>
          <w:p>
            <w:pPr>
              <w:spacing w:line="400" w:lineRule="exact"/>
              <w:jc w:val="center"/>
              <w:rPr>
                <w:rFonts w:ascii="宋体" w:hAnsi="宋体"/>
                <w:color w:val="auto"/>
                <w:sz w:val="24"/>
                <w:highlight w:val="none"/>
              </w:rPr>
            </w:pPr>
          </w:p>
        </w:tc>
        <w:tc>
          <w:tcPr>
            <w:tcW w:w="2175" w:type="dxa"/>
            <w:vAlign w:val="center"/>
          </w:tcPr>
          <w:p>
            <w:pPr>
              <w:spacing w:line="400" w:lineRule="exact"/>
              <w:jc w:val="center"/>
              <w:rPr>
                <w:rFonts w:ascii="宋体" w:hAnsi="宋体"/>
                <w:color w:val="auto"/>
                <w:sz w:val="24"/>
                <w:highlight w:val="none"/>
              </w:rPr>
            </w:pPr>
          </w:p>
        </w:tc>
        <w:tc>
          <w:tcPr>
            <w:tcW w:w="2029" w:type="dxa"/>
            <w:vAlign w:val="center"/>
          </w:tcPr>
          <w:p>
            <w:pPr>
              <w:spacing w:line="400" w:lineRule="exact"/>
              <w:jc w:val="center"/>
              <w:rPr>
                <w:rFonts w:ascii="宋体" w:hAnsi="宋体"/>
                <w:color w:val="auto"/>
                <w:sz w:val="24"/>
                <w:highlight w:val="none"/>
              </w:rPr>
            </w:pPr>
          </w:p>
        </w:tc>
        <w:tc>
          <w:tcPr>
            <w:tcW w:w="1344" w:type="dxa"/>
            <w:vAlign w:val="center"/>
          </w:tcPr>
          <w:p>
            <w:pPr>
              <w:spacing w:line="400" w:lineRule="exact"/>
              <w:jc w:val="center"/>
              <w:rPr>
                <w:rFonts w:ascii="宋体" w:hAnsi="宋体"/>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692" w:type="dxa"/>
            <w:vAlign w:val="center"/>
          </w:tcPr>
          <w:p>
            <w:pPr>
              <w:ind w:left="180"/>
              <w:rPr>
                <w:rFonts w:ascii="宋体" w:hAnsi="宋体"/>
                <w:color w:val="auto"/>
                <w:sz w:val="24"/>
                <w:highlight w:val="none"/>
              </w:rPr>
            </w:pPr>
            <w:r>
              <w:rPr>
                <w:rFonts w:ascii="宋体" w:hAnsi="宋体"/>
                <w:color w:val="auto"/>
                <w:sz w:val="24"/>
                <w:highlight w:val="none"/>
              </w:rPr>
              <w:t>…</w:t>
            </w:r>
          </w:p>
        </w:tc>
        <w:tc>
          <w:tcPr>
            <w:tcW w:w="2786" w:type="dxa"/>
            <w:vAlign w:val="center"/>
          </w:tcPr>
          <w:p>
            <w:pPr>
              <w:spacing w:line="400" w:lineRule="exact"/>
              <w:jc w:val="center"/>
              <w:rPr>
                <w:rFonts w:ascii="宋体" w:hAnsi="宋体"/>
                <w:color w:val="auto"/>
                <w:sz w:val="24"/>
                <w:highlight w:val="none"/>
              </w:rPr>
            </w:pPr>
          </w:p>
        </w:tc>
        <w:tc>
          <w:tcPr>
            <w:tcW w:w="2175" w:type="dxa"/>
            <w:vAlign w:val="center"/>
          </w:tcPr>
          <w:p>
            <w:pPr>
              <w:spacing w:line="400" w:lineRule="exact"/>
              <w:jc w:val="center"/>
              <w:rPr>
                <w:rFonts w:ascii="宋体" w:hAnsi="宋体"/>
                <w:color w:val="auto"/>
                <w:sz w:val="24"/>
                <w:highlight w:val="none"/>
              </w:rPr>
            </w:pPr>
          </w:p>
        </w:tc>
        <w:tc>
          <w:tcPr>
            <w:tcW w:w="2029" w:type="dxa"/>
            <w:vAlign w:val="center"/>
          </w:tcPr>
          <w:p>
            <w:pPr>
              <w:spacing w:line="400" w:lineRule="exact"/>
              <w:jc w:val="center"/>
              <w:rPr>
                <w:rFonts w:ascii="宋体" w:hAnsi="宋体"/>
                <w:color w:val="auto"/>
                <w:sz w:val="24"/>
                <w:highlight w:val="none"/>
              </w:rPr>
            </w:pPr>
          </w:p>
        </w:tc>
        <w:tc>
          <w:tcPr>
            <w:tcW w:w="1344" w:type="dxa"/>
            <w:vAlign w:val="center"/>
          </w:tcPr>
          <w:p>
            <w:pPr>
              <w:spacing w:line="400" w:lineRule="exact"/>
              <w:jc w:val="center"/>
              <w:rPr>
                <w:rFonts w:ascii="宋体" w:hAnsi="宋体" w:cs="宋体"/>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9026" w:type="dxa"/>
            <w:gridSpan w:val="5"/>
            <w:vAlign w:val="center"/>
          </w:tcPr>
          <w:p>
            <w:pPr>
              <w:spacing w:line="400" w:lineRule="exact"/>
              <w:jc w:val="left"/>
              <w:rPr>
                <w:rFonts w:ascii="宋体" w:hAnsi="宋体" w:cs="宋体"/>
                <w:color w:val="auto"/>
                <w:sz w:val="24"/>
                <w:highlight w:val="none"/>
              </w:rPr>
            </w:pPr>
            <w:r>
              <w:rPr>
                <w:rFonts w:hint="eastAsia" w:ascii="宋体" w:hAnsi="宋体"/>
                <w:b/>
                <w:color w:val="auto"/>
                <w:sz w:val="24"/>
                <w:highlight w:val="none"/>
              </w:rPr>
              <w:t>（</w:t>
            </w:r>
            <w:r>
              <w:rPr>
                <w:rFonts w:hint="eastAsia" w:ascii="宋体" w:hAnsi="宋体"/>
                <w:b/>
                <w:color w:val="auto"/>
                <w:sz w:val="24"/>
                <w:highlight w:val="none"/>
                <w:lang w:eastAsia="zh-CN"/>
              </w:rPr>
              <w:t>三</w:t>
            </w:r>
            <w:r>
              <w:rPr>
                <w:rFonts w:hint="eastAsia" w:ascii="宋体" w:hAnsi="宋体"/>
                <w:b/>
                <w:color w:val="auto"/>
                <w:sz w:val="24"/>
                <w:highlight w:val="none"/>
              </w:rPr>
              <w:t>）其他条款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692" w:type="dxa"/>
            <w:vAlign w:val="center"/>
          </w:tcPr>
          <w:p>
            <w:pPr>
              <w:numPr>
                <w:ilvl w:val="0"/>
                <w:numId w:val="114"/>
              </w:numPr>
              <w:jc w:val="center"/>
              <w:rPr>
                <w:rFonts w:ascii="宋体" w:hAnsi="宋体"/>
                <w:color w:val="auto"/>
                <w:sz w:val="24"/>
                <w:highlight w:val="none"/>
              </w:rPr>
            </w:pPr>
          </w:p>
        </w:tc>
        <w:tc>
          <w:tcPr>
            <w:tcW w:w="2786" w:type="dxa"/>
            <w:vAlign w:val="center"/>
          </w:tcPr>
          <w:p>
            <w:pPr>
              <w:spacing w:line="400" w:lineRule="exact"/>
              <w:jc w:val="center"/>
              <w:rPr>
                <w:rFonts w:ascii="宋体" w:hAnsi="宋体"/>
                <w:color w:val="auto"/>
                <w:sz w:val="24"/>
                <w:highlight w:val="none"/>
              </w:rPr>
            </w:pPr>
          </w:p>
        </w:tc>
        <w:tc>
          <w:tcPr>
            <w:tcW w:w="2175" w:type="dxa"/>
            <w:vAlign w:val="center"/>
          </w:tcPr>
          <w:p>
            <w:pPr>
              <w:spacing w:line="400" w:lineRule="exact"/>
              <w:jc w:val="center"/>
              <w:rPr>
                <w:rFonts w:ascii="宋体" w:hAnsi="宋体"/>
                <w:color w:val="auto"/>
                <w:sz w:val="24"/>
                <w:highlight w:val="none"/>
              </w:rPr>
            </w:pPr>
          </w:p>
        </w:tc>
        <w:tc>
          <w:tcPr>
            <w:tcW w:w="2029" w:type="dxa"/>
            <w:vAlign w:val="center"/>
          </w:tcPr>
          <w:p>
            <w:pPr>
              <w:spacing w:line="400" w:lineRule="exact"/>
              <w:jc w:val="center"/>
              <w:rPr>
                <w:rFonts w:ascii="宋体" w:hAnsi="宋体"/>
                <w:color w:val="auto"/>
                <w:sz w:val="24"/>
                <w:highlight w:val="none"/>
              </w:rPr>
            </w:pPr>
          </w:p>
        </w:tc>
        <w:tc>
          <w:tcPr>
            <w:tcW w:w="1344" w:type="dxa"/>
            <w:vAlign w:val="center"/>
          </w:tcPr>
          <w:p>
            <w:pPr>
              <w:spacing w:line="400" w:lineRule="exact"/>
              <w:jc w:val="center"/>
              <w:rPr>
                <w:rFonts w:ascii="宋体" w:hAnsi="宋体" w:cs="宋体"/>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692" w:type="dxa"/>
            <w:vAlign w:val="center"/>
          </w:tcPr>
          <w:p>
            <w:pPr>
              <w:ind w:left="180"/>
              <w:rPr>
                <w:rFonts w:ascii="宋体" w:hAnsi="宋体"/>
                <w:color w:val="auto"/>
                <w:sz w:val="24"/>
                <w:highlight w:val="none"/>
              </w:rPr>
            </w:pPr>
            <w:r>
              <w:rPr>
                <w:rFonts w:ascii="宋体" w:hAnsi="宋体"/>
                <w:color w:val="auto"/>
                <w:sz w:val="24"/>
                <w:highlight w:val="none"/>
              </w:rPr>
              <w:t>…</w:t>
            </w:r>
          </w:p>
        </w:tc>
        <w:tc>
          <w:tcPr>
            <w:tcW w:w="2786" w:type="dxa"/>
            <w:vAlign w:val="center"/>
          </w:tcPr>
          <w:p>
            <w:pPr>
              <w:spacing w:line="400" w:lineRule="exact"/>
              <w:jc w:val="center"/>
              <w:rPr>
                <w:rFonts w:ascii="宋体" w:hAnsi="宋体"/>
                <w:color w:val="auto"/>
                <w:sz w:val="24"/>
                <w:highlight w:val="none"/>
              </w:rPr>
            </w:pPr>
          </w:p>
        </w:tc>
        <w:tc>
          <w:tcPr>
            <w:tcW w:w="2175" w:type="dxa"/>
            <w:vAlign w:val="center"/>
          </w:tcPr>
          <w:p>
            <w:pPr>
              <w:spacing w:line="400" w:lineRule="exact"/>
              <w:jc w:val="center"/>
              <w:rPr>
                <w:rFonts w:ascii="宋体" w:hAnsi="宋体"/>
                <w:color w:val="auto"/>
                <w:sz w:val="24"/>
                <w:highlight w:val="none"/>
              </w:rPr>
            </w:pPr>
          </w:p>
        </w:tc>
        <w:tc>
          <w:tcPr>
            <w:tcW w:w="2029" w:type="dxa"/>
            <w:vAlign w:val="center"/>
          </w:tcPr>
          <w:p>
            <w:pPr>
              <w:spacing w:line="400" w:lineRule="exact"/>
              <w:jc w:val="center"/>
              <w:rPr>
                <w:rFonts w:ascii="宋体" w:hAnsi="宋体"/>
                <w:color w:val="auto"/>
                <w:sz w:val="24"/>
                <w:highlight w:val="none"/>
              </w:rPr>
            </w:pPr>
          </w:p>
        </w:tc>
        <w:tc>
          <w:tcPr>
            <w:tcW w:w="1344" w:type="dxa"/>
            <w:vAlign w:val="center"/>
          </w:tcPr>
          <w:p>
            <w:pPr>
              <w:spacing w:line="400" w:lineRule="exact"/>
              <w:jc w:val="center"/>
              <w:rPr>
                <w:rFonts w:ascii="宋体" w:hAnsi="宋体" w:cs="宋体"/>
                <w:color w:val="auto"/>
                <w:sz w:val="24"/>
                <w:highlight w:val="none"/>
              </w:rPr>
            </w:pPr>
          </w:p>
        </w:tc>
      </w:tr>
    </w:tbl>
    <w:p>
      <w:pPr>
        <w:spacing w:line="500" w:lineRule="exact"/>
        <w:ind w:firstLine="124" w:firstLineChars="50"/>
        <w:rPr>
          <w:rFonts w:ascii="宋体" w:hAnsi="宋体"/>
          <w:color w:val="auto"/>
          <w:sz w:val="24"/>
          <w:highlight w:val="none"/>
          <w:u w:val="single"/>
        </w:rPr>
      </w:pPr>
      <w:bookmarkStart w:id="106" w:name="_Toc435514868"/>
      <w:bookmarkStart w:id="107" w:name="_Toc435515308"/>
      <w:r>
        <w:rPr>
          <w:rFonts w:hint="eastAsia"/>
          <w:color w:val="auto"/>
          <w:spacing w:val="4"/>
          <w:sz w:val="24"/>
          <w:highlight w:val="none"/>
        </w:rPr>
        <w:t>投标人名称（</w:t>
      </w:r>
      <w:r>
        <w:rPr>
          <w:rFonts w:hint="eastAsia" w:ascii="宋体" w:hAnsi="宋体"/>
          <w:color w:val="auto"/>
          <w:sz w:val="24"/>
          <w:highlight w:val="none"/>
        </w:rPr>
        <w:t>单位盖</w:t>
      </w:r>
      <w:r>
        <w:rPr>
          <w:rFonts w:hint="eastAsia"/>
          <w:color w:val="auto"/>
          <w:spacing w:val="4"/>
          <w:sz w:val="24"/>
          <w:highlight w:val="none"/>
        </w:rPr>
        <w:t>公章）：</w:t>
      </w:r>
    </w:p>
    <w:p>
      <w:pPr>
        <w:spacing w:line="440" w:lineRule="exact"/>
        <w:ind w:firstLine="124" w:firstLineChars="50"/>
        <w:rPr>
          <w:rFonts w:ascii="Arial" w:hAnsi="Arial" w:eastAsia="黑体"/>
          <w:bCs/>
          <w:color w:val="auto"/>
          <w:sz w:val="32"/>
          <w:szCs w:val="32"/>
          <w:highlight w:val="none"/>
        </w:rPr>
      </w:pPr>
      <w:r>
        <w:rPr>
          <w:rFonts w:hint="eastAsia"/>
          <w:color w:val="auto"/>
          <w:spacing w:val="4"/>
          <w:sz w:val="24"/>
          <w:highlight w:val="none"/>
        </w:rPr>
        <w:t>日期：</w:t>
      </w:r>
      <w:r>
        <w:rPr>
          <w:b/>
          <w:color w:val="auto"/>
          <w:highlight w:val="none"/>
        </w:rPr>
        <w:br w:type="page"/>
      </w:r>
    </w:p>
    <w:bookmarkEnd w:id="106"/>
    <w:bookmarkEnd w:id="107"/>
    <w:p>
      <w:pPr>
        <w:tabs>
          <w:tab w:val="left" w:pos="142"/>
        </w:tabs>
        <w:autoSpaceDE w:val="0"/>
        <w:autoSpaceDN w:val="0"/>
        <w:spacing w:line="360" w:lineRule="auto"/>
        <w:ind w:left="-2" w:leftChars="-1" w:firstLine="2"/>
        <w:jc w:val="center"/>
        <w:outlineLvl w:val="3"/>
        <w:rPr>
          <w:rFonts w:ascii="黑体" w:hAnsi="黑体" w:eastAsia="黑体"/>
          <w:color w:val="auto"/>
          <w:sz w:val="32"/>
          <w:szCs w:val="32"/>
          <w:highlight w:val="none"/>
        </w:rPr>
      </w:pPr>
      <w:bookmarkStart w:id="108" w:name="_Toc43264525"/>
      <w:bookmarkStart w:id="109" w:name="_Toc435514870"/>
      <w:bookmarkStart w:id="110" w:name="_Toc435515310"/>
      <w:bookmarkStart w:id="111" w:name="_Toc275865617"/>
      <w:bookmarkStart w:id="112" w:name="_Toc50737333"/>
      <w:bookmarkStart w:id="113" w:name="_Toc50736481"/>
      <w:bookmarkStart w:id="114" w:name="_Toc50737301"/>
      <w:bookmarkStart w:id="115" w:name="_Toc52165085"/>
      <w:bookmarkStart w:id="116" w:name="_Toc50691044"/>
      <w:bookmarkStart w:id="117" w:name="_Toc50703730"/>
      <w:bookmarkStart w:id="118" w:name="_Toc50691037"/>
      <w:bookmarkStart w:id="119" w:name="_Toc43264518"/>
      <w:r>
        <w:rPr>
          <w:rFonts w:hint="eastAsia" w:ascii="黑体" w:hAnsi="黑体" w:eastAsia="黑体"/>
          <w:color w:val="auto"/>
          <w:sz w:val="32"/>
          <w:szCs w:val="32"/>
          <w:highlight w:val="none"/>
        </w:rPr>
        <w:t>同类项目情况一览表</w:t>
      </w:r>
      <w:bookmarkEnd w:id="108"/>
      <w:bookmarkEnd w:id="109"/>
      <w:bookmarkEnd w:id="110"/>
      <w:bookmarkEnd w:id="111"/>
      <w:bookmarkEnd w:id="112"/>
      <w:bookmarkEnd w:id="113"/>
      <w:bookmarkEnd w:id="114"/>
      <w:bookmarkEnd w:id="115"/>
      <w:bookmarkEnd w:id="116"/>
    </w:p>
    <w:p>
      <w:pPr>
        <w:widowControl/>
        <w:snapToGrid w:val="0"/>
        <w:spacing w:line="360" w:lineRule="auto"/>
        <w:jc w:val="left"/>
        <w:rPr>
          <w:rFonts w:ascii="宋体" w:hAnsi="宋体"/>
          <w:color w:val="auto"/>
          <w:sz w:val="24"/>
          <w:highlight w:val="none"/>
        </w:rPr>
      </w:pPr>
      <w:r>
        <w:rPr>
          <w:rFonts w:hint="eastAsia" w:ascii="宋体" w:hAnsi="宋体"/>
          <w:color w:val="auto"/>
          <w:sz w:val="24"/>
          <w:highlight w:val="none"/>
        </w:rPr>
        <w:t>项目名称：2020-2021年食品安全监督抽检项目</w:t>
      </w:r>
    </w:p>
    <w:tbl>
      <w:tblPr>
        <w:tblStyle w:val="16"/>
        <w:tblW w:w="908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8"/>
        <w:gridCol w:w="854"/>
        <w:gridCol w:w="966"/>
        <w:gridCol w:w="1022"/>
        <w:gridCol w:w="660"/>
        <w:gridCol w:w="954"/>
        <w:gridCol w:w="1077"/>
        <w:gridCol w:w="953"/>
        <w:gridCol w:w="992"/>
        <w:gridCol w:w="108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9088" w:type="dxa"/>
            <w:gridSpan w:val="10"/>
            <w:tcBorders>
              <w:top w:val="single" w:color="auto" w:sz="12" w:space="0"/>
              <w:bottom w:val="double" w:color="auto" w:sz="4" w:space="0"/>
            </w:tcBorders>
            <w:shd w:val="clear" w:color="auto" w:fill="EEECE1"/>
            <w:vAlign w:val="center"/>
          </w:tcPr>
          <w:p>
            <w:pPr>
              <w:snapToGrid w:val="0"/>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包组号：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528" w:type="dxa"/>
            <w:vMerge w:val="restart"/>
            <w:tcBorders>
              <w:top w:val="single" w:color="auto" w:sz="12" w:space="0"/>
            </w:tcBorders>
            <w:shd w:val="clear" w:color="auto" w:fill="EEECE1"/>
            <w:vAlign w:val="center"/>
          </w:tcPr>
          <w:p>
            <w:pPr>
              <w:snapToGrid w:val="0"/>
              <w:ind w:left="-80" w:leftChars="-40" w:right="-102" w:rightChars="-51"/>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序号</w:t>
            </w:r>
          </w:p>
        </w:tc>
        <w:tc>
          <w:tcPr>
            <w:tcW w:w="854" w:type="dxa"/>
            <w:vMerge w:val="restart"/>
            <w:tcBorders>
              <w:top w:val="single" w:color="auto" w:sz="12" w:space="0"/>
            </w:tcBorders>
            <w:shd w:val="clear" w:color="auto" w:fill="EEECE1"/>
            <w:vAlign w:val="center"/>
          </w:tcPr>
          <w:p>
            <w:pPr>
              <w:snapToGrid w:val="0"/>
              <w:ind w:left="-80" w:leftChars="-40" w:right="-102" w:rightChars="-51"/>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用户/业主名称</w:t>
            </w:r>
          </w:p>
        </w:tc>
        <w:tc>
          <w:tcPr>
            <w:tcW w:w="966" w:type="dxa"/>
            <w:vMerge w:val="restart"/>
            <w:tcBorders>
              <w:top w:val="single" w:color="auto" w:sz="12" w:space="0"/>
            </w:tcBorders>
            <w:shd w:val="clear" w:color="auto" w:fill="EEECE1"/>
            <w:vAlign w:val="center"/>
          </w:tcPr>
          <w:p>
            <w:pPr>
              <w:snapToGrid w:val="0"/>
              <w:ind w:left="-80" w:leftChars="-40" w:right="-102" w:rightChars="-51"/>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项目名称</w:t>
            </w:r>
          </w:p>
        </w:tc>
        <w:tc>
          <w:tcPr>
            <w:tcW w:w="1682" w:type="dxa"/>
            <w:gridSpan w:val="2"/>
            <w:tcBorders>
              <w:top w:val="single" w:color="auto" w:sz="12" w:space="0"/>
              <w:bottom w:val="single" w:color="auto" w:sz="6" w:space="0"/>
            </w:tcBorders>
            <w:shd w:val="clear" w:color="auto" w:fill="EEECE1"/>
            <w:vAlign w:val="center"/>
          </w:tcPr>
          <w:p>
            <w:pPr>
              <w:snapToGrid w:val="0"/>
              <w:ind w:left="-80" w:leftChars="-40" w:right="-102" w:rightChars="-51"/>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项目内容</w:t>
            </w:r>
          </w:p>
        </w:tc>
        <w:tc>
          <w:tcPr>
            <w:tcW w:w="954" w:type="dxa"/>
            <w:vMerge w:val="restart"/>
            <w:tcBorders>
              <w:top w:val="single" w:color="auto" w:sz="12" w:space="0"/>
              <w:right w:val="single" w:color="auto" w:sz="6" w:space="0"/>
            </w:tcBorders>
            <w:shd w:val="clear" w:color="auto" w:fill="EEECE1"/>
            <w:vAlign w:val="center"/>
          </w:tcPr>
          <w:p>
            <w:pPr>
              <w:snapToGrid w:val="0"/>
              <w:ind w:left="-80" w:leftChars="-40" w:right="-102" w:rightChars="-51"/>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合同总价</w:t>
            </w:r>
          </w:p>
        </w:tc>
        <w:tc>
          <w:tcPr>
            <w:tcW w:w="1077" w:type="dxa"/>
            <w:vMerge w:val="restart"/>
            <w:tcBorders>
              <w:top w:val="single" w:color="auto" w:sz="12" w:space="0"/>
              <w:left w:val="single" w:color="auto" w:sz="6" w:space="0"/>
            </w:tcBorders>
            <w:shd w:val="clear" w:color="auto" w:fill="EEECE1"/>
            <w:vAlign w:val="center"/>
          </w:tcPr>
          <w:p>
            <w:pPr>
              <w:snapToGrid w:val="0"/>
              <w:ind w:left="-80" w:leftChars="-40" w:right="-102" w:rightChars="-51"/>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签订时间</w:t>
            </w:r>
          </w:p>
        </w:tc>
        <w:tc>
          <w:tcPr>
            <w:tcW w:w="953" w:type="dxa"/>
            <w:vMerge w:val="restart"/>
            <w:tcBorders>
              <w:top w:val="single" w:color="auto" w:sz="12" w:space="0"/>
              <w:left w:val="single" w:color="auto" w:sz="6" w:space="0"/>
            </w:tcBorders>
            <w:shd w:val="clear" w:color="auto" w:fill="EEECE1"/>
            <w:vAlign w:val="center"/>
          </w:tcPr>
          <w:p>
            <w:pPr>
              <w:snapToGrid w:val="0"/>
              <w:ind w:left="-80" w:leftChars="-40" w:right="-102" w:rightChars="-51"/>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完成时间</w:t>
            </w:r>
          </w:p>
        </w:tc>
        <w:tc>
          <w:tcPr>
            <w:tcW w:w="992" w:type="dxa"/>
            <w:vMerge w:val="restart"/>
            <w:tcBorders>
              <w:top w:val="single" w:color="auto" w:sz="12" w:space="0"/>
              <w:right w:val="single" w:color="auto" w:sz="6" w:space="0"/>
            </w:tcBorders>
            <w:shd w:val="clear" w:color="auto" w:fill="EEECE1"/>
            <w:vAlign w:val="center"/>
          </w:tcPr>
          <w:p>
            <w:pPr>
              <w:snapToGrid w:val="0"/>
              <w:ind w:left="-80" w:leftChars="-40" w:right="-102" w:rightChars="-51"/>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用户/业主联系人及电话</w:t>
            </w:r>
          </w:p>
        </w:tc>
        <w:tc>
          <w:tcPr>
            <w:tcW w:w="1082" w:type="dxa"/>
            <w:vMerge w:val="restart"/>
            <w:tcBorders>
              <w:top w:val="single" w:color="auto" w:sz="12" w:space="0"/>
              <w:left w:val="single" w:color="auto" w:sz="6" w:space="0"/>
            </w:tcBorders>
            <w:shd w:val="clear" w:color="auto" w:fill="EEECE1"/>
            <w:vAlign w:val="center"/>
          </w:tcPr>
          <w:p>
            <w:pPr>
              <w:snapToGrid w:val="0"/>
              <w:ind w:left="-80" w:leftChars="-40" w:right="-102" w:rightChars="-51"/>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查阅/证明文件指引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528" w:type="dxa"/>
            <w:vMerge w:val="continue"/>
            <w:tcBorders>
              <w:bottom w:val="double" w:color="auto" w:sz="4" w:space="0"/>
            </w:tcBorders>
            <w:shd w:val="clear" w:color="auto" w:fill="EEECE1"/>
            <w:vAlign w:val="center"/>
          </w:tcPr>
          <w:p>
            <w:pPr>
              <w:snapToGrid w:val="0"/>
              <w:ind w:left="-80" w:leftChars="-40" w:right="-102" w:rightChars="-51"/>
              <w:jc w:val="center"/>
              <w:rPr>
                <w:rFonts w:asciiTheme="majorEastAsia" w:hAnsiTheme="majorEastAsia" w:eastAsiaTheme="majorEastAsia"/>
                <w:b/>
                <w:color w:val="auto"/>
                <w:sz w:val="24"/>
                <w:highlight w:val="none"/>
              </w:rPr>
            </w:pPr>
          </w:p>
        </w:tc>
        <w:tc>
          <w:tcPr>
            <w:tcW w:w="854" w:type="dxa"/>
            <w:vMerge w:val="continue"/>
            <w:tcBorders>
              <w:bottom w:val="double" w:color="auto" w:sz="4" w:space="0"/>
            </w:tcBorders>
            <w:shd w:val="clear" w:color="auto" w:fill="EEECE1"/>
            <w:vAlign w:val="center"/>
          </w:tcPr>
          <w:p>
            <w:pPr>
              <w:snapToGrid w:val="0"/>
              <w:jc w:val="center"/>
              <w:rPr>
                <w:rFonts w:asciiTheme="majorEastAsia" w:hAnsiTheme="majorEastAsia" w:eastAsiaTheme="majorEastAsia"/>
                <w:b/>
                <w:color w:val="auto"/>
                <w:sz w:val="24"/>
                <w:highlight w:val="none"/>
              </w:rPr>
            </w:pPr>
          </w:p>
        </w:tc>
        <w:tc>
          <w:tcPr>
            <w:tcW w:w="966" w:type="dxa"/>
            <w:vMerge w:val="continue"/>
            <w:tcBorders>
              <w:bottom w:val="double" w:color="auto" w:sz="4" w:space="0"/>
            </w:tcBorders>
            <w:shd w:val="clear" w:color="auto" w:fill="EEECE1"/>
            <w:vAlign w:val="center"/>
          </w:tcPr>
          <w:p>
            <w:pPr>
              <w:snapToGrid w:val="0"/>
              <w:jc w:val="center"/>
              <w:rPr>
                <w:rFonts w:asciiTheme="majorEastAsia" w:hAnsiTheme="majorEastAsia" w:eastAsiaTheme="majorEastAsia"/>
                <w:b/>
                <w:color w:val="auto"/>
                <w:sz w:val="24"/>
                <w:highlight w:val="none"/>
              </w:rPr>
            </w:pPr>
          </w:p>
        </w:tc>
        <w:tc>
          <w:tcPr>
            <w:tcW w:w="1022" w:type="dxa"/>
            <w:tcBorders>
              <w:top w:val="single" w:color="auto" w:sz="6" w:space="0"/>
              <w:bottom w:val="double" w:color="auto" w:sz="4" w:space="0"/>
              <w:right w:val="single" w:color="auto" w:sz="6" w:space="0"/>
            </w:tcBorders>
            <w:shd w:val="clear" w:color="auto" w:fill="EEECE1"/>
            <w:vAlign w:val="center"/>
          </w:tcPr>
          <w:p>
            <w:pPr>
              <w:snapToGrid w:val="0"/>
              <w:ind w:left="-80" w:leftChars="-40" w:right="-102" w:rightChars="-51"/>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产品名称</w:t>
            </w:r>
          </w:p>
        </w:tc>
        <w:tc>
          <w:tcPr>
            <w:tcW w:w="660" w:type="dxa"/>
            <w:tcBorders>
              <w:top w:val="single" w:color="auto" w:sz="6" w:space="0"/>
              <w:left w:val="single" w:color="auto" w:sz="6" w:space="0"/>
              <w:bottom w:val="double" w:color="auto" w:sz="4" w:space="0"/>
            </w:tcBorders>
            <w:shd w:val="clear" w:color="auto" w:fill="EEECE1"/>
            <w:vAlign w:val="center"/>
          </w:tcPr>
          <w:p>
            <w:pPr>
              <w:snapToGrid w:val="0"/>
              <w:ind w:left="-80" w:leftChars="-40" w:right="-102" w:rightChars="-51"/>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型号</w:t>
            </w:r>
          </w:p>
        </w:tc>
        <w:tc>
          <w:tcPr>
            <w:tcW w:w="954" w:type="dxa"/>
            <w:vMerge w:val="continue"/>
            <w:tcBorders>
              <w:bottom w:val="double" w:color="auto" w:sz="4" w:space="0"/>
              <w:right w:val="single" w:color="auto" w:sz="6" w:space="0"/>
            </w:tcBorders>
            <w:shd w:val="clear" w:color="auto" w:fill="EEECE1"/>
            <w:vAlign w:val="center"/>
          </w:tcPr>
          <w:p>
            <w:pPr>
              <w:snapToGrid w:val="0"/>
              <w:jc w:val="center"/>
              <w:rPr>
                <w:rFonts w:asciiTheme="majorEastAsia" w:hAnsiTheme="majorEastAsia" w:eastAsiaTheme="majorEastAsia"/>
                <w:b/>
                <w:color w:val="auto"/>
                <w:sz w:val="24"/>
                <w:highlight w:val="none"/>
              </w:rPr>
            </w:pPr>
          </w:p>
        </w:tc>
        <w:tc>
          <w:tcPr>
            <w:tcW w:w="1077" w:type="dxa"/>
            <w:vMerge w:val="continue"/>
            <w:tcBorders>
              <w:left w:val="single" w:color="auto" w:sz="6" w:space="0"/>
              <w:bottom w:val="double" w:color="auto" w:sz="4" w:space="0"/>
            </w:tcBorders>
            <w:shd w:val="clear" w:color="auto" w:fill="EEECE1"/>
            <w:vAlign w:val="center"/>
          </w:tcPr>
          <w:p>
            <w:pPr>
              <w:snapToGrid w:val="0"/>
              <w:jc w:val="center"/>
              <w:rPr>
                <w:rFonts w:asciiTheme="majorEastAsia" w:hAnsiTheme="majorEastAsia" w:eastAsiaTheme="majorEastAsia"/>
                <w:b/>
                <w:color w:val="auto"/>
                <w:sz w:val="24"/>
                <w:highlight w:val="none"/>
              </w:rPr>
            </w:pPr>
          </w:p>
        </w:tc>
        <w:tc>
          <w:tcPr>
            <w:tcW w:w="953" w:type="dxa"/>
            <w:vMerge w:val="continue"/>
            <w:tcBorders>
              <w:left w:val="single" w:color="auto" w:sz="6" w:space="0"/>
              <w:bottom w:val="double" w:color="auto" w:sz="4" w:space="0"/>
            </w:tcBorders>
            <w:shd w:val="clear" w:color="auto" w:fill="EEECE1"/>
            <w:vAlign w:val="center"/>
          </w:tcPr>
          <w:p>
            <w:pPr>
              <w:snapToGrid w:val="0"/>
              <w:jc w:val="center"/>
              <w:rPr>
                <w:rFonts w:asciiTheme="majorEastAsia" w:hAnsiTheme="majorEastAsia" w:eastAsiaTheme="majorEastAsia"/>
                <w:b/>
                <w:color w:val="auto"/>
                <w:sz w:val="24"/>
                <w:highlight w:val="none"/>
              </w:rPr>
            </w:pPr>
          </w:p>
        </w:tc>
        <w:tc>
          <w:tcPr>
            <w:tcW w:w="992" w:type="dxa"/>
            <w:vMerge w:val="continue"/>
            <w:tcBorders>
              <w:bottom w:val="double" w:color="auto" w:sz="4" w:space="0"/>
              <w:right w:val="single" w:color="auto" w:sz="6" w:space="0"/>
            </w:tcBorders>
            <w:shd w:val="clear" w:color="auto" w:fill="EEECE1"/>
            <w:vAlign w:val="center"/>
          </w:tcPr>
          <w:p>
            <w:pPr>
              <w:snapToGrid w:val="0"/>
              <w:jc w:val="center"/>
              <w:rPr>
                <w:rFonts w:asciiTheme="majorEastAsia" w:hAnsiTheme="majorEastAsia" w:eastAsiaTheme="majorEastAsia"/>
                <w:b/>
                <w:color w:val="auto"/>
                <w:sz w:val="24"/>
                <w:highlight w:val="none"/>
              </w:rPr>
            </w:pPr>
          </w:p>
        </w:tc>
        <w:tc>
          <w:tcPr>
            <w:tcW w:w="1082" w:type="dxa"/>
            <w:vMerge w:val="continue"/>
            <w:tcBorders>
              <w:left w:val="single" w:color="auto" w:sz="6" w:space="0"/>
              <w:bottom w:val="double" w:color="auto" w:sz="4" w:space="0"/>
            </w:tcBorders>
            <w:shd w:val="clear" w:color="auto" w:fill="EEECE1"/>
            <w:vAlign w:val="center"/>
          </w:tcPr>
          <w:p>
            <w:pPr>
              <w:snapToGrid w:val="0"/>
              <w:jc w:val="center"/>
              <w:rPr>
                <w:rFonts w:asciiTheme="majorEastAsia" w:hAnsiTheme="majorEastAsia" w:eastAsiaTheme="majorEastAsia"/>
                <w:b/>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528" w:type="dxa"/>
            <w:tcBorders>
              <w:top w:val="double" w:color="auto" w:sz="4" w:space="0"/>
            </w:tcBorders>
            <w:vAlign w:val="center"/>
          </w:tcPr>
          <w:p>
            <w:pPr>
              <w:pStyle w:val="24"/>
              <w:numPr>
                <w:ilvl w:val="0"/>
                <w:numId w:val="115"/>
              </w:numPr>
              <w:spacing w:line="400" w:lineRule="exact"/>
              <w:ind w:firstLineChars="0"/>
              <w:jc w:val="center"/>
              <w:rPr>
                <w:rFonts w:asciiTheme="majorEastAsia" w:hAnsiTheme="majorEastAsia" w:eastAsiaTheme="majorEastAsia"/>
                <w:color w:val="auto"/>
                <w:sz w:val="24"/>
                <w:highlight w:val="none"/>
              </w:rPr>
            </w:pPr>
          </w:p>
        </w:tc>
        <w:tc>
          <w:tcPr>
            <w:tcW w:w="854" w:type="dxa"/>
            <w:tcBorders>
              <w:top w:val="double" w:color="auto" w:sz="4" w:space="0"/>
            </w:tcBorders>
            <w:vAlign w:val="center"/>
          </w:tcPr>
          <w:p>
            <w:pPr>
              <w:spacing w:line="400" w:lineRule="exact"/>
              <w:jc w:val="center"/>
              <w:rPr>
                <w:rFonts w:asciiTheme="majorEastAsia" w:hAnsiTheme="majorEastAsia" w:eastAsiaTheme="majorEastAsia"/>
                <w:color w:val="auto"/>
                <w:sz w:val="24"/>
                <w:highlight w:val="none"/>
              </w:rPr>
            </w:pPr>
          </w:p>
        </w:tc>
        <w:tc>
          <w:tcPr>
            <w:tcW w:w="966" w:type="dxa"/>
            <w:tcBorders>
              <w:top w:val="double" w:color="auto" w:sz="4" w:space="0"/>
            </w:tcBorders>
            <w:vAlign w:val="center"/>
          </w:tcPr>
          <w:p>
            <w:pPr>
              <w:spacing w:line="400" w:lineRule="exact"/>
              <w:jc w:val="center"/>
              <w:rPr>
                <w:rFonts w:asciiTheme="majorEastAsia" w:hAnsiTheme="majorEastAsia" w:eastAsiaTheme="majorEastAsia"/>
                <w:color w:val="auto"/>
                <w:sz w:val="24"/>
                <w:highlight w:val="none"/>
              </w:rPr>
            </w:pPr>
          </w:p>
        </w:tc>
        <w:tc>
          <w:tcPr>
            <w:tcW w:w="1022" w:type="dxa"/>
            <w:tcBorders>
              <w:top w:val="double" w:color="auto" w:sz="4" w:space="0"/>
              <w:righ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660" w:type="dxa"/>
            <w:tcBorders>
              <w:top w:val="double" w:color="auto" w:sz="4" w:space="0"/>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954" w:type="dxa"/>
            <w:tcBorders>
              <w:top w:val="double" w:color="auto" w:sz="4" w:space="0"/>
              <w:righ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1077" w:type="dxa"/>
            <w:tcBorders>
              <w:top w:val="double" w:color="auto" w:sz="4" w:space="0"/>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953" w:type="dxa"/>
            <w:tcBorders>
              <w:top w:val="double" w:color="auto" w:sz="4" w:space="0"/>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992" w:type="dxa"/>
            <w:tcBorders>
              <w:top w:val="double" w:color="auto" w:sz="4" w:space="0"/>
              <w:righ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1082" w:type="dxa"/>
            <w:tcBorders>
              <w:top w:val="double" w:color="auto" w:sz="4" w:space="0"/>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r>
              <w:rPr>
                <w:rFonts w:hint="eastAsia" w:cs="宋体" w:asciiTheme="majorEastAsia" w:hAnsiTheme="majorEastAsia" w:eastAsiaTheme="majorEastAsia"/>
                <w:color w:val="auto"/>
                <w:sz w:val="24"/>
                <w:highlight w:val="none"/>
              </w:rPr>
              <w:t>第页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528" w:type="dxa"/>
            <w:vAlign w:val="center"/>
          </w:tcPr>
          <w:p>
            <w:pPr>
              <w:pStyle w:val="24"/>
              <w:numPr>
                <w:ilvl w:val="0"/>
                <w:numId w:val="115"/>
              </w:numPr>
              <w:spacing w:line="400" w:lineRule="exact"/>
              <w:ind w:firstLineChars="0"/>
              <w:jc w:val="center"/>
              <w:rPr>
                <w:rFonts w:asciiTheme="majorEastAsia" w:hAnsiTheme="majorEastAsia" w:eastAsiaTheme="majorEastAsia"/>
                <w:color w:val="auto"/>
                <w:sz w:val="24"/>
                <w:highlight w:val="none"/>
              </w:rPr>
            </w:pPr>
          </w:p>
        </w:tc>
        <w:tc>
          <w:tcPr>
            <w:tcW w:w="854" w:type="dxa"/>
            <w:vAlign w:val="center"/>
          </w:tcPr>
          <w:p>
            <w:pPr>
              <w:spacing w:line="400" w:lineRule="exact"/>
              <w:jc w:val="center"/>
              <w:rPr>
                <w:rFonts w:asciiTheme="majorEastAsia" w:hAnsiTheme="majorEastAsia" w:eastAsiaTheme="majorEastAsia"/>
                <w:color w:val="auto"/>
                <w:sz w:val="24"/>
                <w:highlight w:val="none"/>
              </w:rPr>
            </w:pPr>
          </w:p>
        </w:tc>
        <w:tc>
          <w:tcPr>
            <w:tcW w:w="966" w:type="dxa"/>
            <w:vAlign w:val="center"/>
          </w:tcPr>
          <w:p>
            <w:pPr>
              <w:spacing w:line="400" w:lineRule="exact"/>
              <w:jc w:val="center"/>
              <w:rPr>
                <w:rFonts w:asciiTheme="majorEastAsia" w:hAnsiTheme="majorEastAsia" w:eastAsiaTheme="majorEastAsia"/>
                <w:color w:val="auto"/>
                <w:sz w:val="24"/>
                <w:highlight w:val="none"/>
              </w:rPr>
            </w:pPr>
          </w:p>
        </w:tc>
        <w:tc>
          <w:tcPr>
            <w:tcW w:w="1022" w:type="dxa"/>
            <w:tcBorders>
              <w:righ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660" w:type="dxa"/>
            <w:tcBorders>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954" w:type="dxa"/>
            <w:tcBorders>
              <w:righ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1077" w:type="dxa"/>
            <w:tcBorders>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953" w:type="dxa"/>
            <w:tcBorders>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992" w:type="dxa"/>
            <w:tcBorders>
              <w:righ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1082" w:type="dxa"/>
            <w:tcBorders>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r>
              <w:rPr>
                <w:rFonts w:hint="eastAsia" w:cs="宋体" w:asciiTheme="majorEastAsia" w:hAnsiTheme="majorEastAsia" w:eastAsiaTheme="majorEastAsia"/>
                <w:color w:val="auto"/>
                <w:sz w:val="24"/>
                <w:highlight w:val="none"/>
              </w:rPr>
              <w:t>第页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28" w:type="dxa"/>
            <w:vAlign w:val="center"/>
          </w:tcPr>
          <w:p>
            <w:pPr>
              <w:pStyle w:val="24"/>
              <w:numPr>
                <w:ilvl w:val="0"/>
                <w:numId w:val="115"/>
              </w:numPr>
              <w:spacing w:line="400" w:lineRule="exact"/>
              <w:ind w:firstLineChars="0"/>
              <w:jc w:val="center"/>
              <w:rPr>
                <w:rFonts w:asciiTheme="majorEastAsia" w:hAnsiTheme="majorEastAsia" w:eastAsiaTheme="majorEastAsia"/>
                <w:color w:val="auto"/>
                <w:sz w:val="24"/>
                <w:highlight w:val="none"/>
              </w:rPr>
            </w:pPr>
          </w:p>
        </w:tc>
        <w:tc>
          <w:tcPr>
            <w:tcW w:w="854" w:type="dxa"/>
            <w:vAlign w:val="center"/>
          </w:tcPr>
          <w:p>
            <w:pPr>
              <w:spacing w:line="400" w:lineRule="exact"/>
              <w:jc w:val="center"/>
              <w:rPr>
                <w:rFonts w:asciiTheme="majorEastAsia" w:hAnsiTheme="majorEastAsia" w:eastAsiaTheme="majorEastAsia"/>
                <w:color w:val="auto"/>
                <w:sz w:val="24"/>
                <w:highlight w:val="none"/>
              </w:rPr>
            </w:pPr>
          </w:p>
        </w:tc>
        <w:tc>
          <w:tcPr>
            <w:tcW w:w="966" w:type="dxa"/>
            <w:vAlign w:val="center"/>
          </w:tcPr>
          <w:p>
            <w:pPr>
              <w:spacing w:line="400" w:lineRule="exact"/>
              <w:jc w:val="center"/>
              <w:rPr>
                <w:rFonts w:asciiTheme="majorEastAsia" w:hAnsiTheme="majorEastAsia" w:eastAsiaTheme="majorEastAsia"/>
                <w:color w:val="auto"/>
                <w:sz w:val="24"/>
                <w:highlight w:val="none"/>
              </w:rPr>
            </w:pPr>
          </w:p>
        </w:tc>
        <w:tc>
          <w:tcPr>
            <w:tcW w:w="1022" w:type="dxa"/>
            <w:tcBorders>
              <w:righ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660" w:type="dxa"/>
            <w:tcBorders>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954" w:type="dxa"/>
            <w:tcBorders>
              <w:righ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1077" w:type="dxa"/>
            <w:tcBorders>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953" w:type="dxa"/>
            <w:tcBorders>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992" w:type="dxa"/>
            <w:tcBorders>
              <w:righ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1082" w:type="dxa"/>
            <w:tcBorders>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r>
              <w:rPr>
                <w:rFonts w:hint="eastAsia" w:cs="宋体" w:asciiTheme="majorEastAsia" w:hAnsiTheme="majorEastAsia" w:eastAsiaTheme="majorEastAsia"/>
                <w:color w:val="auto"/>
                <w:sz w:val="24"/>
                <w:highlight w:val="none"/>
              </w:rPr>
              <w:t>第页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528" w:type="dxa"/>
            <w:vAlign w:val="center"/>
          </w:tcPr>
          <w:p>
            <w:pPr>
              <w:pStyle w:val="24"/>
              <w:numPr>
                <w:ilvl w:val="0"/>
                <w:numId w:val="115"/>
              </w:numPr>
              <w:spacing w:line="400" w:lineRule="exact"/>
              <w:ind w:firstLineChars="0"/>
              <w:jc w:val="center"/>
              <w:rPr>
                <w:rFonts w:asciiTheme="majorEastAsia" w:hAnsiTheme="majorEastAsia" w:eastAsiaTheme="majorEastAsia"/>
                <w:color w:val="auto"/>
                <w:sz w:val="24"/>
                <w:highlight w:val="none"/>
              </w:rPr>
            </w:pPr>
          </w:p>
        </w:tc>
        <w:tc>
          <w:tcPr>
            <w:tcW w:w="854" w:type="dxa"/>
            <w:vAlign w:val="center"/>
          </w:tcPr>
          <w:p>
            <w:pPr>
              <w:spacing w:line="400" w:lineRule="exact"/>
              <w:jc w:val="center"/>
              <w:rPr>
                <w:rFonts w:asciiTheme="majorEastAsia" w:hAnsiTheme="majorEastAsia" w:eastAsiaTheme="majorEastAsia"/>
                <w:color w:val="auto"/>
                <w:sz w:val="24"/>
                <w:highlight w:val="none"/>
              </w:rPr>
            </w:pPr>
          </w:p>
        </w:tc>
        <w:tc>
          <w:tcPr>
            <w:tcW w:w="966" w:type="dxa"/>
            <w:vAlign w:val="center"/>
          </w:tcPr>
          <w:p>
            <w:pPr>
              <w:spacing w:line="400" w:lineRule="exact"/>
              <w:jc w:val="center"/>
              <w:rPr>
                <w:rFonts w:asciiTheme="majorEastAsia" w:hAnsiTheme="majorEastAsia" w:eastAsiaTheme="majorEastAsia"/>
                <w:color w:val="auto"/>
                <w:sz w:val="24"/>
                <w:highlight w:val="none"/>
              </w:rPr>
            </w:pPr>
          </w:p>
        </w:tc>
        <w:tc>
          <w:tcPr>
            <w:tcW w:w="1022" w:type="dxa"/>
            <w:tcBorders>
              <w:righ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660" w:type="dxa"/>
            <w:tcBorders>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954" w:type="dxa"/>
            <w:tcBorders>
              <w:righ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1077" w:type="dxa"/>
            <w:tcBorders>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953" w:type="dxa"/>
            <w:tcBorders>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992" w:type="dxa"/>
            <w:tcBorders>
              <w:righ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1082" w:type="dxa"/>
            <w:tcBorders>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r>
              <w:rPr>
                <w:rFonts w:hint="eastAsia" w:cs="宋体" w:asciiTheme="majorEastAsia" w:hAnsiTheme="majorEastAsia" w:eastAsiaTheme="majorEastAsia"/>
                <w:color w:val="auto"/>
                <w:sz w:val="24"/>
                <w:highlight w:val="none"/>
              </w:rPr>
              <w:t>第页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9088" w:type="dxa"/>
            <w:gridSpan w:val="10"/>
            <w:vAlign w:val="center"/>
          </w:tcPr>
          <w:p>
            <w:pPr>
              <w:spacing w:line="400" w:lineRule="exact"/>
              <w:jc w:val="center"/>
              <w:rPr>
                <w:rFonts w:cs="宋体" w:asciiTheme="majorEastAsia" w:hAnsiTheme="majorEastAsia" w:eastAsiaTheme="majorEastAsia"/>
                <w:b/>
                <w:color w:val="auto"/>
                <w:sz w:val="24"/>
                <w:highlight w:val="none"/>
              </w:rPr>
            </w:pPr>
            <w:r>
              <w:rPr>
                <w:rFonts w:hint="eastAsia" w:cs="宋体" w:asciiTheme="majorEastAsia" w:hAnsiTheme="majorEastAsia" w:eastAsiaTheme="majorEastAsia"/>
                <w:b/>
                <w:color w:val="auto"/>
                <w:sz w:val="24"/>
                <w:highlight w:val="none"/>
              </w:rPr>
              <w:t>合计：个业绩</w:t>
            </w:r>
          </w:p>
        </w:tc>
      </w:tr>
    </w:tbl>
    <w:p>
      <w:pPr>
        <w:spacing w:line="440" w:lineRule="exact"/>
        <w:rPr>
          <w:rFonts w:ascii="宋体" w:hAnsi="宋体"/>
          <w:color w:val="auto"/>
          <w:sz w:val="24"/>
          <w:highlight w:val="none"/>
        </w:rPr>
      </w:pPr>
      <w:r>
        <w:rPr>
          <w:rFonts w:hint="eastAsia"/>
          <w:bCs/>
          <w:color w:val="auto"/>
          <w:sz w:val="24"/>
          <w:highlight w:val="none"/>
        </w:rPr>
        <w:t>备注：</w:t>
      </w:r>
      <w:r>
        <w:rPr>
          <w:rFonts w:hint="eastAsia" w:ascii="宋体" w:hAnsi="宋体"/>
          <w:color w:val="auto"/>
          <w:sz w:val="24"/>
          <w:highlight w:val="none"/>
        </w:rPr>
        <w:t>根据评分表的要求提交相应资料。</w:t>
      </w:r>
    </w:p>
    <w:bookmarkEnd w:id="117"/>
    <w:bookmarkEnd w:id="118"/>
    <w:p>
      <w:pPr>
        <w:spacing w:line="500" w:lineRule="exact"/>
        <w:ind w:firstLine="124" w:firstLineChars="50"/>
        <w:rPr>
          <w:rFonts w:ascii="宋体" w:hAnsi="宋体"/>
          <w:color w:val="auto"/>
          <w:sz w:val="24"/>
          <w:highlight w:val="none"/>
          <w:u w:val="single"/>
        </w:rPr>
      </w:pPr>
      <w:r>
        <w:rPr>
          <w:rFonts w:hint="eastAsia"/>
          <w:color w:val="auto"/>
          <w:spacing w:val="4"/>
          <w:sz w:val="24"/>
          <w:highlight w:val="none"/>
        </w:rPr>
        <w:t>投标人名称（</w:t>
      </w:r>
      <w:r>
        <w:rPr>
          <w:rFonts w:hint="eastAsia" w:ascii="宋体" w:hAnsi="宋体"/>
          <w:color w:val="auto"/>
          <w:sz w:val="24"/>
          <w:highlight w:val="none"/>
        </w:rPr>
        <w:t>单位盖</w:t>
      </w:r>
      <w:r>
        <w:rPr>
          <w:rFonts w:hint="eastAsia"/>
          <w:color w:val="auto"/>
          <w:spacing w:val="4"/>
          <w:sz w:val="24"/>
          <w:highlight w:val="none"/>
        </w:rPr>
        <w:t>公章）：</w:t>
      </w:r>
    </w:p>
    <w:p>
      <w:pPr>
        <w:spacing w:line="440" w:lineRule="exact"/>
        <w:ind w:firstLine="124" w:firstLineChars="50"/>
        <w:rPr>
          <w:color w:val="auto"/>
          <w:spacing w:val="4"/>
          <w:sz w:val="24"/>
          <w:highlight w:val="none"/>
          <w:u w:val="single"/>
        </w:rPr>
      </w:pPr>
      <w:r>
        <w:rPr>
          <w:rFonts w:hint="eastAsia"/>
          <w:color w:val="auto"/>
          <w:spacing w:val="4"/>
          <w:sz w:val="24"/>
          <w:highlight w:val="none"/>
        </w:rPr>
        <w:t>日期：</w:t>
      </w:r>
    </w:p>
    <w:p>
      <w:pPr>
        <w:tabs>
          <w:tab w:val="left" w:pos="142"/>
        </w:tabs>
        <w:autoSpaceDE w:val="0"/>
        <w:autoSpaceDN w:val="0"/>
        <w:spacing w:line="360" w:lineRule="auto"/>
        <w:ind w:left="-2" w:leftChars="-1" w:firstLine="2"/>
        <w:jc w:val="center"/>
        <w:outlineLvl w:val="3"/>
        <w:rPr>
          <w:rFonts w:ascii="黑体" w:hAnsi="黑体" w:eastAsia="黑体"/>
          <w:color w:val="auto"/>
          <w:sz w:val="32"/>
          <w:szCs w:val="32"/>
          <w:highlight w:val="none"/>
        </w:rPr>
      </w:pPr>
      <w:bookmarkStart w:id="120" w:name="_Toc52165084"/>
      <w:bookmarkStart w:id="121" w:name="_Toc50691042"/>
      <w:bookmarkStart w:id="122" w:name="_Toc50737300"/>
      <w:bookmarkStart w:id="123" w:name="_Toc50736480"/>
      <w:bookmarkStart w:id="124" w:name="_Toc435514871"/>
      <w:bookmarkStart w:id="125" w:name="_Toc275865618"/>
      <w:bookmarkStart w:id="126" w:name="_Toc435515311"/>
      <w:bookmarkStart w:id="127" w:name="_Toc50737332"/>
      <w:r>
        <w:rPr>
          <w:rFonts w:hint="eastAsia" w:ascii="黑体" w:hAnsi="黑体" w:eastAsia="黑体"/>
          <w:color w:val="auto"/>
          <w:sz w:val="32"/>
          <w:szCs w:val="32"/>
          <w:highlight w:val="none"/>
        </w:rPr>
        <w:t>项目经理及管理技术人员一览表</w:t>
      </w:r>
      <w:bookmarkEnd w:id="120"/>
      <w:bookmarkEnd w:id="121"/>
      <w:bookmarkEnd w:id="122"/>
      <w:bookmarkEnd w:id="123"/>
      <w:bookmarkEnd w:id="124"/>
      <w:bookmarkEnd w:id="125"/>
      <w:bookmarkEnd w:id="126"/>
      <w:bookmarkEnd w:id="127"/>
    </w:p>
    <w:p>
      <w:pPr>
        <w:widowControl/>
        <w:snapToGrid w:val="0"/>
        <w:spacing w:line="360" w:lineRule="auto"/>
        <w:jc w:val="left"/>
        <w:rPr>
          <w:rFonts w:ascii="宋体" w:hAnsi="宋体"/>
          <w:color w:val="auto"/>
          <w:sz w:val="24"/>
          <w:highlight w:val="none"/>
        </w:rPr>
      </w:pPr>
      <w:r>
        <w:rPr>
          <w:rFonts w:hint="eastAsia" w:ascii="宋体" w:hAnsi="宋体"/>
          <w:color w:val="auto"/>
          <w:sz w:val="24"/>
          <w:highlight w:val="none"/>
        </w:rPr>
        <w:t>项目名称：2020-2021年食品安全监督抽检项目</w:t>
      </w:r>
    </w:p>
    <w:tbl>
      <w:tblPr>
        <w:tblStyle w:val="16"/>
        <w:tblW w:w="902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72"/>
        <w:gridCol w:w="1034"/>
        <w:gridCol w:w="662"/>
        <w:gridCol w:w="658"/>
        <w:gridCol w:w="822"/>
        <w:gridCol w:w="1051"/>
        <w:gridCol w:w="731"/>
        <w:gridCol w:w="579"/>
        <w:gridCol w:w="924"/>
        <w:gridCol w:w="709"/>
        <w:gridCol w:w="128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9025" w:type="dxa"/>
            <w:gridSpan w:val="11"/>
            <w:tcBorders>
              <w:top w:val="single" w:color="auto" w:sz="12" w:space="0"/>
              <w:bottom w:val="double" w:color="auto" w:sz="4" w:space="0"/>
            </w:tcBorders>
            <w:shd w:val="clear" w:color="auto" w:fill="EEECE1"/>
            <w:vAlign w:val="center"/>
          </w:tcPr>
          <w:p>
            <w:pPr>
              <w:snapToGrid w:val="0"/>
              <w:jc w:val="center"/>
              <w:rPr>
                <w:rFonts w:asciiTheme="majorEastAsia" w:hAnsiTheme="majorEastAsia" w:eastAsiaTheme="majorEastAsia"/>
                <w:color w:val="auto"/>
                <w:sz w:val="24"/>
                <w:highlight w:val="none"/>
              </w:rPr>
            </w:pPr>
            <w:r>
              <w:rPr>
                <w:rFonts w:hint="eastAsia" w:asciiTheme="majorEastAsia" w:hAnsiTheme="majorEastAsia" w:eastAsiaTheme="majorEastAsia"/>
                <w:b/>
                <w:color w:val="auto"/>
                <w:sz w:val="24"/>
                <w:highlight w:val="none"/>
              </w:rPr>
              <w:t>包组号：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72" w:type="dxa"/>
            <w:tcBorders>
              <w:top w:val="single" w:color="auto" w:sz="12" w:space="0"/>
              <w:bottom w:val="double" w:color="auto" w:sz="4" w:space="0"/>
            </w:tcBorders>
            <w:shd w:val="clear" w:color="auto" w:fill="EEECE1"/>
            <w:vAlign w:val="center"/>
          </w:tcPr>
          <w:p>
            <w:pPr>
              <w:snapToGrid w:val="0"/>
              <w:ind w:left="-88" w:leftChars="-44" w:right="-76" w:rightChars="-38"/>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序号</w:t>
            </w:r>
          </w:p>
        </w:tc>
        <w:tc>
          <w:tcPr>
            <w:tcW w:w="1034" w:type="dxa"/>
            <w:tcBorders>
              <w:top w:val="single" w:color="auto" w:sz="12" w:space="0"/>
              <w:bottom w:val="double" w:color="auto" w:sz="4" w:space="0"/>
            </w:tcBorders>
            <w:shd w:val="clear" w:color="auto" w:fill="EEECE1"/>
            <w:vAlign w:val="center"/>
          </w:tcPr>
          <w:p>
            <w:pPr>
              <w:snapToGrid w:val="0"/>
              <w:ind w:left="-88" w:leftChars="-44" w:right="-76" w:rightChars="-38"/>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姓名</w:t>
            </w:r>
          </w:p>
        </w:tc>
        <w:tc>
          <w:tcPr>
            <w:tcW w:w="662" w:type="dxa"/>
            <w:tcBorders>
              <w:top w:val="single" w:color="auto" w:sz="12" w:space="0"/>
              <w:bottom w:val="double" w:color="auto" w:sz="4" w:space="0"/>
            </w:tcBorders>
            <w:shd w:val="clear" w:color="auto" w:fill="EEECE1"/>
            <w:vAlign w:val="center"/>
          </w:tcPr>
          <w:p>
            <w:pPr>
              <w:snapToGrid w:val="0"/>
              <w:ind w:left="-88" w:leftChars="-44" w:right="-76" w:rightChars="-38"/>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性别</w:t>
            </w:r>
          </w:p>
        </w:tc>
        <w:tc>
          <w:tcPr>
            <w:tcW w:w="658" w:type="dxa"/>
            <w:tcBorders>
              <w:top w:val="single" w:color="auto" w:sz="12" w:space="0"/>
              <w:bottom w:val="double" w:color="auto" w:sz="4" w:space="0"/>
            </w:tcBorders>
            <w:shd w:val="clear" w:color="auto" w:fill="EEECE1"/>
            <w:vAlign w:val="center"/>
          </w:tcPr>
          <w:p>
            <w:pPr>
              <w:snapToGrid w:val="0"/>
              <w:ind w:left="-88" w:leftChars="-44" w:right="-76" w:rightChars="-38"/>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年龄</w:t>
            </w:r>
          </w:p>
        </w:tc>
        <w:tc>
          <w:tcPr>
            <w:tcW w:w="822" w:type="dxa"/>
            <w:tcBorders>
              <w:top w:val="single" w:color="auto" w:sz="12" w:space="0"/>
              <w:bottom w:val="double" w:color="auto" w:sz="4" w:space="0"/>
            </w:tcBorders>
            <w:shd w:val="clear" w:color="auto" w:fill="EEECE1"/>
            <w:vAlign w:val="center"/>
          </w:tcPr>
          <w:p>
            <w:pPr>
              <w:snapToGrid w:val="0"/>
              <w:ind w:left="-88" w:leftChars="-44" w:right="-76" w:rightChars="-38"/>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学历</w:t>
            </w:r>
          </w:p>
        </w:tc>
        <w:tc>
          <w:tcPr>
            <w:tcW w:w="1051" w:type="dxa"/>
            <w:tcBorders>
              <w:top w:val="single" w:color="auto" w:sz="12" w:space="0"/>
              <w:bottom w:val="double" w:color="auto" w:sz="4" w:space="0"/>
            </w:tcBorders>
            <w:shd w:val="clear" w:color="auto" w:fill="EEECE1"/>
            <w:vAlign w:val="center"/>
          </w:tcPr>
          <w:p>
            <w:pPr>
              <w:snapToGrid w:val="0"/>
              <w:ind w:left="-88" w:leftChars="-44" w:right="-76" w:rightChars="-38"/>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职称</w:t>
            </w:r>
          </w:p>
        </w:tc>
        <w:tc>
          <w:tcPr>
            <w:tcW w:w="731" w:type="dxa"/>
            <w:tcBorders>
              <w:top w:val="single" w:color="auto" w:sz="12" w:space="0"/>
              <w:bottom w:val="double" w:color="auto" w:sz="4" w:space="0"/>
            </w:tcBorders>
            <w:shd w:val="clear" w:color="auto" w:fill="EEECE1"/>
            <w:vAlign w:val="center"/>
          </w:tcPr>
          <w:p>
            <w:pPr>
              <w:snapToGrid w:val="0"/>
              <w:ind w:left="-88" w:leftChars="-44" w:right="-76" w:rightChars="-38"/>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专业</w:t>
            </w:r>
          </w:p>
        </w:tc>
        <w:tc>
          <w:tcPr>
            <w:tcW w:w="579" w:type="dxa"/>
            <w:tcBorders>
              <w:top w:val="single" w:color="auto" w:sz="12" w:space="0"/>
              <w:bottom w:val="double" w:color="auto" w:sz="4" w:space="0"/>
            </w:tcBorders>
            <w:shd w:val="clear" w:color="auto" w:fill="EEECE1"/>
            <w:vAlign w:val="center"/>
          </w:tcPr>
          <w:p>
            <w:pPr>
              <w:snapToGrid w:val="0"/>
              <w:ind w:left="-88" w:leftChars="-44" w:right="-76" w:rightChars="-38"/>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经验年限</w:t>
            </w:r>
          </w:p>
        </w:tc>
        <w:tc>
          <w:tcPr>
            <w:tcW w:w="924" w:type="dxa"/>
            <w:tcBorders>
              <w:top w:val="single" w:color="auto" w:sz="12" w:space="0"/>
              <w:bottom w:val="double" w:color="auto" w:sz="4" w:space="0"/>
              <w:right w:val="single" w:color="auto" w:sz="4" w:space="0"/>
            </w:tcBorders>
            <w:shd w:val="clear" w:color="auto" w:fill="EEECE1"/>
            <w:vAlign w:val="center"/>
          </w:tcPr>
          <w:p>
            <w:pPr>
              <w:snapToGrid w:val="0"/>
              <w:ind w:left="-88" w:leftChars="-44" w:right="-76" w:rightChars="-38"/>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担任职务</w:t>
            </w:r>
          </w:p>
        </w:tc>
        <w:tc>
          <w:tcPr>
            <w:tcW w:w="709" w:type="dxa"/>
            <w:tcBorders>
              <w:top w:val="single" w:color="auto" w:sz="12" w:space="0"/>
              <w:left w:val="single" w:color="auto" w:sz="4" w:space="0"/>
              <w:bottom w:val="double" w:color="auto" w:sz="4" w:space="0"/>
              <w:right w:val="single" w:color="auto" w:sz="6" w:space="0"/>
            </w:tcBorders>
            <w:shd w:val="clear" w:color="auto" w:fill="EEECE1"/>
            <w:vAlign w:val="center"/>
          </w:tcPr>
          <w:p>
            <w:pPr>
              <w:snapToGrid w:val="0"/>
              <w:ind w:left="-88" w:leftChars="-44" w:right="-76" w:rightChars="-38"/>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承担工作内容</w:t>
            </w:r>
          </w:p>
        </w:tc>
        <w:tc>
          <w:tcPr>
            <w:tcW w:w="1283" w:type="dxa"/>
            <w:tcBorders>
              <w:top w:val="single" w:color="auto" w:sz="12" w:space="0"/>
              <w:left w:val="single" w:color="auto" w:sz="6" w:space="0"/>
              <w:bottom w:val="double" w:color="auto" w:sz="4" w:space="0"/>
            </w:tcBorders>
            <w:shd w:val="clear" w:color="auto" w:fill="EEECE1"/>
            <w:vAlign w:val="center"/>
          </w:tcPr>
          <w:p>
            <w:pPr>
              <w:snapToGrid w:val="0"/>
              <w:ind w:left="-88" w:leftChars="-44" w:right="-76" w:rightChars="-38"/>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t>查阅/证明文件指引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72" w:type="dxa"/>
            <w:tcBorders>
              <w:top w:val="double" w:color="auto" w:sz="4" w:space="0"/>
            </w:tcBorders>
            <w:vAlign w:val="center"/>
          </w:tcPr>
          <w:p>
            <w:pPr>
              <w:pStyle w:val="24"/>
              <w:numPr>
                <w:ilvl w:val="0"/>
                <w:numId w:val="116"/>
              </w:numPr>
              <w:spacing w:line="400" w:lineRule="exact"/>
              <w:ind w:firstLineChars="0"/>
              <w:jc w:val="center"/>
              <w:rPr>
                <w:rFonts w:asciiTheme="majorEastAsia" w:hAnsiTheme="majorEastAsia" w:eastAsiaTheme="majorEastAsia"/>
                <w:color w:val="auto"/>
                <w:sz w:val="24"/>
                <w:highlight w:val="none"/>
              </w:rPr>
            </w:pPr>
          </w:p>
        </w:tc>
        <w:tc>
          <w:tcPr>
            <w:tcW w:w="1034" w:type="dxa"/>
            <w:tcBorders>
              <w:top w:val="double" w:color="auto" w:sz="4" w:space="0"/>
            </w:tcBorders>
            <w:vAlign w:val="center"/>
          </w:tcPr>
          <w:p>
            <w:pPr>
              <w:spacing w:line="400" w:lineRule="exact"/>
              <w:jc w:val="center"/>
              <w:rPr>
                <w:rFonts w:asciiTheme="majorEastAsia" w:hAnsiTheme="majorEastAsia" w:eastAsiaTheme="majorEastAsia"/>
                <w:color w:val="auto"/>
                <w:sz w:val="24"/>
                <w:highlight w:val="none"/>
              </w:rPr>
            </w:pPr>
          </w:p>
        </w:tc>
        <w:tc>
          <w:tcPr>
            <w:tcW w:w="662" w:type="dxa"/>
            <w:tcBorders>
              <w:top w:val="double" w:color="auto" w:sz="4" w:space="0"/>
            </w:tcBorders>
            <w:vAlign w:val="center"/>
          </w:tcPr>
          <w:p>
            <w:pPr>
              <w:spacing w:line="400" w:lineRule="exact"/>
              <w:jc w:val="center"/>
              <w:rPr>
                <w:rFonts w:asciiTheme="majorEastAsia" w:hAnsiTheme="majorEastAsia" w:eastAsiaTheme="majorEastAsia"/>
                <w:color w:val="auto"/>
                <w:sz w:val="24"/>
                <w:highlight w:val="none"/>
              </w:rPr>
            </w:pPr>
          </w:p>
        </w:tc>
        <w:tc>
          <w:tcPr>
            <w:tcW w:w="658" w:type="dxa"/>
            <w:tcBorders>
              <w:top w:val="double" w:color="auto" w:sz="4" w:space="0"/>
            </w:tcBorders>
            <w:vAlign w:val="center"/>
          </w:tcPr>
          <w:p>
            <w:pPr>
              <w:spacing w:line="400" w:lineRule="exact"/>
              <w:jc w:val="center"/>
              <w:rPr>
                <w:rFonts w:asciiTheme="majorEastAsia" w:hAnsiTheme="majorEastAsia" w:eastAsiaTheme="majorEastAsia"/>
                <w:color w:val="auto"/>
                <w:sz w:val="24"/>
                <w:highlight w:val="none"/>
              </w:rPr>
            </w:pPr>
          </w:p>
        </w:tc>
        <w:tc>
          <w:tcPr>
            <w:tcW w:w="822" w:type="dxa"/>
            <w:tcBorders>
              <w:top w:val="double" w:color="auto" w:sz="4" w:space="0"/>
            </w:tcBorders>
            <w:vAlign w:val="center"/>
          </w:tcPr>
          <w:p>
            <w:pPr>
              <w:spacing w:line="400" w:lineRule="exact"/>
              <w:jc w:val="center"/>
              <w:rPr>
                <w:rFonts w:asciiTheme="majorEastAsia" w:hAnsiTheme="majorEastAsia" w:eastAsiaTheme="majorEastAsia"/>
                <w:color w:val="auto"/>
                <w:sz w:val="24"/>
                <w:highlight w:val="none"/>
              </w:rPr>
            </w:pPr>
          </w:p>
        </w:tc>
        <w:tc>
          <w:tcPr>
            <w:tcW w:w="1051" w:type="dxa"/>
            <w:tcBorders>
              <w:top w:val="double" w:color="auto" w:sz="4" w:space="0"/>
            </w:tcBorders>
            <w:vAlign w:val="center"/>
          </w:tcPr>
          <w:p>
            <w:pPr>
              <w:spacing w:line="400" w:lineRule="exact"/>
              <w:jc w:val="center"/>
              <w:rPr>
                <w:rFonts w:asciiTheme="majorEastAsia" w:hAnsiTheme="majorEastAsia" w:eastAsiaTheme="majorEastAsia"/>
                <w:color w:val="auto"/>
                <w:sz w:val="24"/>
                <w:highlight w:val="none"/>
              </w:rPr>
            </w:pPr>
          </w:p>
        </w:tc>
        <w:tc>
          <w:tcPr>
            <w:tcW w:w="731" w:type="dxa"/>
            <w:tcBorders>
              <w:top w:val="double" w:color="auto" w:sz="4" w:space="0"/>
            </w:tcBorders>
            <w:vAlign w:val="center"/>
          </w:tcPr>
          <w:p>
            <w:pPr>
              <w:spacing w:line="400" w:lineRule="exact"/>
              <w:jc w:val="center"/>
              <w:rPr>
                <w:rFonts w:asciiTheme="majorEastAsia" w:hAnsiTheme="majorEastAsia" w:eastAsiaTheme="majorEastAsia"/>
                <w:color w:val="auto"/>
                <w:sz w:val="24"/>
                <w:highlight w:val="none"/>
              </w:rPr>
            </w:pPr>
          </w:p>
        </w:tc>
        <w:tc>
          <w:tcPr>
            <w:tcW w:w="579" w:type="dxa"/>
            <w:tcBorders>
              <w:top w:val="double" w:color="auto" w:sz="4" w:space="0"/>
            </w:tcBorders>
            <w:vAlign w:val="center"/>
          </w:tcPr>
          <w:p>
            <w:pPr>
              <w:spacing w:line="400" w:lineRule="exact"/>
              <w:jc w:val="center"/>
              <w:rPr>
                <w:rFonts w:asciiTheme="majorEastAsia" w:hAnsiTheme="majorEastAsia" w:eastAsiaTheme="majorEastAsia"/>
                <w:color w:val="auto"/>
                <w:sz w:val="24"/>
                <w:highlight w:val="none"/>
              </w:rPr>
            </w:pPr>
          </w:p>
        </w:tc>
        <w:tc>
          <w:tcPr>
            <w:tcW w:w="924" w:type="dxa"/>
            <w:tcBorders>
              <w:top w:val="double" w:color="auto" w:sz="4" w:space="0"/>
              <w:right w:val="single" w:color="auto" w:sz="4" w:space="0"/>
            </w:tcBorders>
            <w:vAlign w:val="center"/>
          </w:tcPr>
          <w:p>
            <w:pPr>
              <w:spacing w:line="400" w:lineRule="exact"/>
              <w:jc w:val="center"/>
              <w:rPr>
                <w:rFonts w:asciiTheme="majorEastAsia" w:hAnsiTheme="majorEastAsia" w:eastAsiaTheme="majorEastAsia"/>
                <w:color w:val="auto"/>
                <w:sz w:val="24"/>
                <w:highlight w:val="none"/>
              </w:rPr>
            </w:pPr>
          </w:p>
        </w:tc>
        <w:tc>
          <w:tcPr>
            <w:tcW w:w="709" w:type="dxa"/>
            <w:tcBorders>
              <w:top w:val="double" w:color="auto" w:sz="4" w:space="0"/>
              <w:left w:val="single" w:color="auto" w:sz="4" w:space="0"/>
              <w:righ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1283" w:type="dxa"/>
            <w:tcBorders>
              <w:top w:val="double" w:color="auto" w:sz="4" w:space="0"/>
              <w:left w:val="single" w:color="auto" w:sz="6" w:space="0"/>
            </w:tcBorders>
            <w:vAlign w:val="center"/>
          </w:tcPr>
          <w:p>
            <w:pPr>
              <w:snapToGrid w:val="0"/>
              <w:jc w:val="center"/>
              <w:rPr>
                <w:rFonts w:asciiTheme="majorEastAsia" w:hAnsiTheme="majorEastAsia" w:eastAsiaTheme="majorEastAsia"/>
                <w:b/>
                <w:color w:val="auto"/>
                <w:sz w:val="24"/>
                <w:highlight w:val="none"/>
              </w:rPr>
            </w:pPr>
            <w:r>
              <w:rPr>
                <w:rFonts w:hint="eastAsia" w:cs="宋体" w:asciiTheme="majorEastAsia" w:hAnsiTheme="majorEastAsia" w:eastAsiaTheme="majorEastAsia"/>
                <w:color w:val="auto"/>
                <w:sz w:val="24"/>
                <w:highlight w:val="none"/>
              </w:rPr>
              <w:t>第页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72" w:type="dxa"/>
            <w:vAlign w:val="center"/>
          </w:tcPr>
          <w:p>
            <w:pPr>
              <w:pStyle w:val="24"/>
              <w:numPr>
                <w:ilvl w:val="0"/>
                <w:numId w:val="116"/>
              </w:numPr>
              <w:spacing w:line="400" w:lineRule="exact"/>
              <w:ind w:firstLineChars="0"/>
              <w:jc w:val="center"/>
              <w:rPr>
                <w:rFonts w:asciiTheme="majorEastAsia" w:hAnsiTheme="majorEastAsia" w:eastAsiaTheme="majorEastAsia"/>
                <w:color w:val="auto"/>
                <w:sz w:val="24"/>
                <w:highlight w:val="none"/>
              </w:rPr>
            </w:pPr>
          </w:p>
        </w:tc>
        <w:tc>
          <w:tcPr>
            <w:tcW w:w="1034" w:type="dxa"/>
            <w:vAlign w:val="center"/>
          </w:tcPr>
          <w:p>
            <w:pPr>
              <w:spacing w:line="400" w:lineRule="exact"/>
              <w:jc w:val="center"/>
              <w:rPr>
                <w:rFonts w:asciiTheme="majorEastAsia" w:hAnsiTheme="majorEastAsia" w:eastAsiaTheme="majorEastAsia"/>
                <w:color w:val="auto"/>
                <w:sz w:val="24"/>
                <w:highlight w:val="none"/>
              </w:rPr>
            </w:pPr>
          </w:p>
        </w:tc>
        <w:tc>
          <w:tcPr>
            <w:tcW w:w="662" w:type="dxa"/>
            <w:vAlign w:val="center"/>
          </w:tcPr>
          <w:p>
            <w:pPr>
              <w:spacing w:line="400" w:lineRule="exact"/>
              <w:jc w:val="center"/>
              <w:rPr>
                <w:rFonts w:asciiTheme="majorEastAsia" w:hAnsiTheme="majorEastAsia" w:eastAsiaTheme="majorEastAsia"/>
                <w:color w:val="auto"/>
                <w:sz w:val="24"/>
                <w:highlight w:val="none"/>
              </w:rPr>
            </w:pPr>
          </w:p>
        </w:tc>
        <w:tc>
          <w:tcPr>
            <w:tcW w:w="658" w:type="dxa"/>
            <w:vAlign w:val="center"/>
          </w:tcPr>
          <w:p>
            <w:pPr>
              <w:spacing w:line="400" w:lineRule="exact"/>
              <w:jc w:val="center"/>
              <w:rPr>
                <w:rFonts w:asciiTheme="majorEastAsia" w:hAnsiTheme="majorEastAsia" w:eastAsiaTheme="majorEastAsia"/>
                <w:color w:val="auto"/>
                <w:sz w:val="24"/>
                <w:highlight w:val="none"/>
              </w:rPr>
            </w:pPr>
          </w:p>
        </w:tc>
        <w:tc>
          <w:tcPr>
            <w:tcW w:w="822" w:type="dxa"/>
            <w:vAlign w:val="center"/>
          </w:tcPr>
          <w:p>
            <w:pPr>
              <w:spacing w:line="400" w:lineRule="exact"/>
              <w:jc w:val="center"/>
              <w:rPr>
                <w:rFonts w:asciiTheme="majorEastAsia" w:hAnsiTheme="majorEastAsia" w:eastAsiaTheme="majorEastAsia"/>
                <w:color w:val="auto"/>
                <w:sz w:val="24"/>
                <w:highlight w:val="none"/>
              </w:rPr>
            </w:pPr>
          </w:p>
        </w:tc>
        <w:tc>
          <w:tcPr>
            <w:tcW w:w="1051" w:type="dxa"/>
            <w:vAlign w:val="center"/>
          </w:tcPr>
          <w:p>
            <w:pPr>
              <w:spacing w:line="400" w:lineRule="exact"/>
              <w:jc w:val="center"/>
              <w:rPr>
                <w:rFonts w:asciiTheme="majorEastAsia" w:hAnsiTheme="majorEastAsia" w:eastAsiaTheme="majorEastAsia"/>
                <w:color w:val="auto"/>
                <w:sz w:val="24"/>
                <w:highlight w:val="none"/>
              </w:rPr>
            </w:pPr>
          </w:p>
        </w:tc>
        <w:tc>
          <w:tcPr>
            <w:tcW w:w="731" w:type="dxa"/>
            <w:vAlign w:val="center"/>
          </w:tcPr>
          <w:p>
            <w:pPr>
              <w:spacing w:line="400" w:lineRule="exact"/>
              <w:jc w:val="center"/>
              <w:rPr>
                <w:rFonts w:asciiTheme="majorEastAsia" w:hAnsiTheme="majorEastAsia" w:eastAsiaTheme="majorEastAsia"/>
                <w:color w:val="auto"/>
                <w:sz w:val="24"/>
                <w:highlight w:val="none"/>
              </w:rPr>
            </w:pPr>
          </w:p>
        </w:tc>
        <w:tc>
          <w:tcPr>
            <w:tcW w:w="579" w:type="dxa"/>
            <w:vAlign w:val="center"/>
          </w:tcPr>
          <w:p>
            <w:pPr>
              <w:spacing w:line="400" w:lineRule="exact"/>
              <w:jc w:val="center"/>
              <w:rPr>
                <w:rFonts w:asciiTheme="majorEastAsia" w:hAnsiTheme="majorEastAsia" w:eastAsiaTheme="majorEastAsia"/>
                <w:color w:val="auto"/>
                <w:sz w:val="24"/>
                <w:highlight w:val="none"/>
              </w:rPr>
            </w:pPr>
          </w:p>
        </w:tc>
        <w:tc>
          <w:tcPr>
            <w:tcW w:w="924" w:type="dxa"/>
            <w:tcBorders>
              <w:right w:val="single" w:color="auto" w:sz="4" w:space="0"/>
            </w:tcBorders>
            <w:vAlign w:val="center"/>
          </w:tcPr>
          <w:p>
            <w:pPr>
              <w:spacing w:line="400" w:lineRule="exact"/>
              <w:jc w:val="center"/>
              <w:rPr>
                <w:rFonts w:asciiTheme="majorEastAsia" w:hAnsiTheme="majorEastAsia" w:eastAsiaTheme="majorEastAsia"/>
                <w:color w:val="auto"/>
                <w:sz w:val="24"/>
                <w:highlight w:val="none"/>
              </w:rPr>
            </w:pPr>
          </w:p>
        </w:tc>
        <w:tc>
          <w:tcPr>
            <w:tcW w:w="709" w:type="dxa"/>
            <w:tcBorders>
              <w:left w:val="single" w:color="auto" w:sz="4" w:space="0"/>
              <w:righ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1283" w:type="dxa"/>
            <w:tcBorders>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r>
              <w:rPr>
                <w:rFonts w:hint="eastAsia" w:cs="宋体" w:asciiTheme="majorEastAsia" w:hAnsiTheme="majorEastAsia" w:eastAsiaTheme="majorEastAsia"/>
                <w:color w:val="auto"/>
                <w:sz w:val="24"/>
                <w:highlight w:val="none"/>
              </w:rPr>
              <w:t>第页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72" w:type="dxa"/>
            <w:vAlign w:val="center"/>
          </w:tcPr>
          <w:p>
            <w:pPr>
              <w:pStyle w:val="24"/>
              <w:numPr>
                <w:ilvl w:val="0"/>
                <w:numId w:val="116"/>
              </w:numPr>
              <w:spacing w:line="400" w:lineRule="exact"/>
              <w:ind w:firstLineChars="0"/>
              <w:jc w:val="center"/>
              <w:rPr>
                <w:rFonts w:asciiTheme="majorEastAsia" w:hAnsiTheme="majorEastAsia" w:eastAsiaTheme="majorEastAsia"/>
                <w:color w:val="auto"/>
                <w:sz w:val="24"/>
                <w:highlight w:val="none"/>
              </w:rPr>
            </w:pPr>
          </w:p>
        </w:tc>
        <w:tc>
          <w:tcPr>
            <w:tcW w:w="1034" w:type="dxa"/>
            <w:vAlign w:val="center"/>
          </w:tcPr>
          <w:p>
            <w:pPr>
              <w:spacing w:line="400" w:lineRule="exact"/>
              <w:jc w:val="center"/>
              <w:rPr>
                <w:rFonts w:asciiTheme="majorEastAsia" w:hAnsiTheme="majorEastAsia" w:eastAsiaTheme="majorEastAsia"/>
                <w:color w:val="auto"/>
                <w:sz w:val="24"/>
                <w:highlight w:val="none"/>
              </w:rPr>
            </w:pPr>
          </w:p>
        </w:tc>
        <w:tc>
          <w:tcPr>
            <w:tcW w:w="662" w:type="dxa"/>
            <w:vAlign w:val="center"/>
          </w:tcPr>
          <w:p>
            <w:pPr>
              <w:spacing w:line="400" w:lineRule="exact"/>
              <w:jc w:val="center"/>
              <w:rPr>
                <w:rFonts w:asciiTheme="majorEastAsia" w:hAnsiTheme="majorEastAsia" w:eastAsiaTheme="majorEastAsia"/>
                <w:color w:val="auto"/>
                <w:sz w:val="24"/>
                <w:highlight w:val="none"/>
              </w:rPr>
            </w:pPr>
          </w:p>
        </w:tc>
        <w:tc>
          <w:tcPr>
            <w:tcW w:w="658" w:type="dxa"/>
            <w:vAlign w:val="center"/>
          </w:tcPr>
          <w:p>
            <w:pPr>
              <w:spacing w:line="400" w:lineRule="exact"/>
              <w:jc w:val="center"/>
              <w:rPr>
                <w:rFonts w:asciiTheme="majorEastAsia" w:hAnsiTheme="majorEastAsia" w:eastAsiaTheme="majorEastAsia"/>
                <w:color w:val="auto"/>
                <w:sz w:val="24"/>
                <w:highlight w:val="none"/>
              </w:rPr>
            </w:pPr>
          </w:p>
        </w:tc>
        <w:tc>
          <w:tcPr>
            <w:tcW w:w="822" w:type="dxa"/>
            <w:vAlign w:val="center"/>
          </w:tcPr>
          <w:p>
            <w:pPr>
              <w:spacing w:line="400" w:lineRule="exact"/>
              <w:jc w:val="center"/>
              <w:rPr>
                <w:rFonts w:asciiTheme="majorEastAsia" w:hAnsiTheme="majorEastAsia" w:eastAsiaTheme="majorEastAsia"/>
                <w:color w:val="auto"/>
                <w:sz w:val="24"/>
                <w:highlight w:val="none"/>
              </w:rPr>
            </w:pPr>
          </w:p>
        </w:tc>
        <w:tc>
          <w:tcPr>
            <w:tcW w:w="1051" w:type="dxa"/>
            <w:vAlign w:val="center"/>
          </w:tcPr>
          <w:p>
            <w:pPr>
              <w:spacing w:line="400" w:lineRule="exact"/>
              <w:jc w:val="center"/>
              <w:rPr>
                <w:rFonts w:asciiTheme="majorEastAsia" w:hAnsiTheme="majorEastAsia" w:eastAsiaTheme="majorEastAsia"/>
                <w:color w:val="auto"/>
                <w:sz w:val="24"/>
                <w:highlight w:val="none"/>
              </w:rPr>
            </w:pPr>
          </w:p>
        </w:tc>
        <w:tc>
          <w:tcPr>
            <w:tcW w:w="731" w:type="dxa"/>
            <w:vAlign w:val="center"/>
          </w:tcPr>
          <w:p>
            <w:pPr>
              <w:spacing w:line="400" w:lineRule="exact"/>
              <w:jc w:val="center"/>
              <w:rPr>
                <w:rFonts w:asciiTheme="majorEastAsia" w:hAnsiTheme="majorEastAsia" w:eastAsiaTheme="majorEastAsia"/>
                <w:color w:val="auto"/>
                <w:sz w:val="24"/>
                <w:highlight w:val="none"/>
              </w:rPr>
            </w:pPr>
          </w:p>
        </w:tc>
        <w:tc>
          <w:tcPr>
            <w:tcW w:w="579" w:type="dxa"/>
            <w:vAlign w:val="center"/>
          </w:tcPr>
          <w:p>
            <w:pPr>
              <w:spacing w:line="400" w:lineRule="exact"/>
              <w:jc w:val="center"/>
              <w:rPr>
                <w:rFonts w:asciiTheme="majorEastAsia" w:hAnsiTheme="majorEastAsia" w:eastAsiaTheme="majorEastAsia"/>
                <w:color w:val="auto"/>
                <w:sz w:val="24"/>
                <w:highlight w:val="none"/>
              </w:rPr>
            </w:pPr>
          </w:p>
        </w:tc>
        <w:tc>
          <w:tcPr>
            <w:tcW w:w="924" w:type="dxa"/>
            <w:tcBorders>
              <w:right w:val="single" w:color="auto" w:sz="4" w:space="0"/>
            </w:tcBorders>
            <w:vAlign w:val="center"/>
          </w:tcPr>
          <w:p>
            <w:pPr>
              <w:spacing w:line="400" w:lineRule="exact"/>
              <w:jc w:val="center"/>
              <w:rPr>
                <w:rFonts w:asciiTheme="majorEastAsia" w:hAnsiTheme="majorEastAsia" w:eastAsiaTheme="majorEastAsia"/>
                <w:color w:val="auto"/>
                <w:sz w:val="24"/>
                <w:highlight w:val="none"/>
              </w:rPr>
            </w:pPr>
          </w:p>
        </w:tc>
        <w:tc>
          <w:tcPr>
            <w:tcW w:w="709" w:type="dxa"/>
            <w:tcBorders>
              <w:left w:val="single" w:color="auto" w:sz="4" w:space="0"/>
              <w:righ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1283" w:type="dxa"/>
            <w:tcBorders>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r>
              <w:rPr>
                <w:rFonts w:hint="eastAsia" w:cs="宋体" w:asciiTheme="majorEastAsia" w:hAnsiTheme="majorEastAsia" w:eastAsiaTheme="majorEastAsia"/>
                <w:color w:val="auto"/>
                <w:sz w:val="24"/>
                <w:highlight w:val="none"/>
              </w:rPr>
              <w:t>第页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72" w:type="dxa"/>
            <w:vAlign w:val="center"/>
          </w:tcPr>
          <w:p>
            <w:pPr>
              <w:pStyle w:val="24"/>
              <w:numPr>
                <w:ilvl w:val="0"/>
                <w:numId w:val="116"/>
              </w:numPr>
              <w:spacing w:line="400" w:lineRule="exact"/>
              <w:ind w:firstLineChars="0"/>
              <w:jc w:val="center"/>
              <w:rPr>
                <w:rFonts w:asciiTheme="majorEastAsia" w:hAnsiTheme="majorEastAsia" w:eastAsiaTheme="majorEastAsia"/>
                <w:color w:val="auto"/>
                <w:sz w:val="24"/>
                <w:highlight w:val="none"/>
              </w:rPr>
            </w:pPr>
          </w:p>
        </w:tc>
        <w:tc>
          <w:tcPr>
            <w:tcW w:w="1034" w:type="dxa"/>
            <w:vAlign w:val="center"/>
          </w:tcPr>
          <w:p>
            <w:pPr>
              <w:spacing w:line="400" w:lineRule="exact"/>
              <w:jc w:val="center"/>
              <w:rPr>
                <w:rFonts w:asciiTheme="majorEastAsia" w:hAnsiTheme="majorEastAsia" w:eastAsiaTheme="majorEastAsia"/>
                <w:color w:val="auto"/>
                <w:sz w:val="24"/>
                <w:highlight w:val="none"/>
              </w:rPr>
            </w:pPr>
          </w:p>
        </w:tc>
        <w:tc>
          <w:tcPr>
            <w:tcW w:w="662" w:type="dxa"/>
            <w:vAlign w:val="center"/>
          </w:tcPr>
          <w:p>
            <w:pPr>
              <w:spacing w:line="400" w:lineRule="exact"/>
              <w:jc w:val="center"/>
              <w:rPr>
                <w:rFonts w:asciiTheme="majorEastAsia" w:hAnsiTheme="majorEastAsia" w:eastAsiaTheme="majorEastAsia"/>
                <w:color w:val="auto"/>
                <w:sz w:val="24"/>
                <w:highlight w:val="none"/>
              </w:rPr>
            </w:pPr>
          </w:p>
        </w:tc>
        <w:tc>
          <w:tcPr>
            <w:tcW w:w="658" w:type="dxa"/>
            <w:vAlign w:val="center"/>
          </w:tcPr>
          <w:p>
            <w:pPr>
              <w:spacing w:line="400" w:lineRule="exact"/>
              <w:jc w:val="center"/>
              <w:rPr>
                <w:rFonts w:asciiTheme="majorEastAsia" w:hAnsiTheme="majorEastAsia" w:eastAsiaTheme="majorEastAsia"/>
                <w:color w:val="auto"/>
                <w:sz w:val="24"/>
                <w:highlight w:val="none"/>
              </w:rPr>
            </w:pPr>
          </w:p>
        </w:tc>
        <w:tc>
          <w:tcPr>
            <w:tcW w:w="822" w:type="dxa"/>
            <w:vAlign w:val="center"/>
          </w:tcPr>
          <w:p>
            <w:pPr>
              <w:spacing w:line="400" w:lineRule="exact"/>
              <w:jc w:val="center"/>
              <w:rPr>
                <w:rFonts w:asciiTheme="majorEastAsia" w:hAnsiTheme="majorEastAsia" w:eastAsiaTheme="majorEastAsia"/>
                <w:color w:val="auto"/>
                <w:sz w:val="24"/>
                <w:highlight w:val="none"/>
              </w:rPr>
            </w:pPr>
          </w:p>
        </w:tc>
        <w:tc>
          <w:tcPr>
            <w:tcW w:w="1051" w:type="dxa"/>
            <w:vAlign w:val="center"/>
          </w:tcPr>
          <w:p>
            <w:pPr>
              <w:spacing w:line="400" w:lineRule="exact"/>
              <w:jc w:val="center"/>
              <w:rPr>
                <w:rFonts w:asciiTheme="majorEastAsia" w:hAnsiTheme="majorEastAsia" w:eastAsiaTheme="majorEastAsia"/>
                <w:color w:val="auto"/>
                <w:sz w:val="24"/>
                <w:highlight w:val="none"/>
              </w:rPr>
            </w:pPr>
          </w:p>
        </w:tc>
        <w:tc>
          <w:tcPr>
            <w:tcW w:w="731" w:type="dxa"/>
            <w:vAlign w:val="center"/>
          </w:tcPr>
          <w:p>
            <w:pPr>
              <w:spacing w:line="400" w:lineRule="exact"/>
              <w:jc w:val="center"/>
              <w:rPr>
                <w:rFonts w:asciiTheme="majorEastAsia" w:hAnsiTheme="majorEastAsia" w:eastAsiaTheme="majorEastAsia"/>
                <w:color w:val="auto"/>
                <w:sz w:val="24"/>
                <w:highlight w:val="none"/>
              </w:rPr>
            </w:pPr>
          </w:p>
        </w:tc>
        <w:tc>
          <w:tcPr>
            <w:tcW w:w="579" w:type="dxa"/>
            <w:vAlign w:val="center"/>
          </w:tcPr>
          <w:p>
            <w:pPr>
              <w:spacing w:line="400" w:lineRule="exact"/>
              <w:jc w:val="center"/>
              <w:rPr>
                <w:rFonts w:asciiTheme="majorEastAsia" w:hAnsiTheme="majorEastAsia" w:eastAsiaTheme="majorEastAsia"/>
                <w:color w:val="auto"/>
                <w:sz w:val="24"/>
                <w:highlight w:val="none"/>
              </w:rPr>
            </w:pPr>
          </w:p>
        </w:tc>
        <w:tc>
          <w:tcPr>
            <w:tcW w:w="924" w:type="dxa"/>
            <w:tcBorders>
              <w:right w:val="single" w:color="auto" w:sz="4" w:space="0"/>
            </w:tcBorders>
            <w:vAlign w:val="center"/>
          </w:tcPr>
          <w:p>
            <w:pPr>
              <w:spacing w:line="400" w:lineRule="exact"/>
              <w:jc w:val="center"/>
              <w:rPr>
                <w:rFonts w:asciiTheme="majorEastAsia" w:hAnsiTheme="majorEastAsia" w:eastAsiaTheme="majorEastAsia"/>
                <w:color w:val="auto"/>
                <w:sz w:val="24"/>
                <w:highlight w:val="none"/>
              </w:rPr>
            </w:pPr>
          </w:p>
        </w:tc>
        <w:tc>
          <w:tcPr>
            <w:tcW w:w="709" w:type="dxa"/>
            <w:tcBorders>
              <w:left w:val="single" w:color="auto" w:sz="4" w:space="0"/>
              <w:righ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1283" w:type="dxa"/>
            <w:tcBorders>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r>
              <w:rPr>
                <w:rFonts w:hint="eastAsia" w:cs="宋体" w:asciiTheme="majorEastAsia" w:hAnsiTheme="majorEastAsia" w:eastAsiaTheme="majorEastAsia"/>
                <w:color w:val="auto"/>
                <w:sz w:val="24"/>
                <w:highlight w:val="none"/>
              </w:rPr>
              <w:t>第页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72" w:type="dxa"/>
            <w:vAlign w:val="center"/>
          </w:tcPr>
          <w:p>
            <w:pPr>
              <w:pStyle w:val="24"/>
              <w:numPr>
                <w:ilvl w:val="0"/>
                <w:numId w:val="116"/>
              </w:numPr>
              <w:spacing w:line="400" w:lineRule="exact"/>
              <w:ind w:firstLineChars="0"/>
              <w:jc w:val="center"/>
              <w:rPr>
                <w:rFonts w:asciiTheme="majorEastAsia" w:hAnsiTheme="majorEastAsia" w:eastAsiaTheme="majorEastAsia"/>
                <w:color w:val="auto"/>
                <w:sz w:val="24"/>
                <w:highlight w:val="none"/>
              </w:rPr>
            </w:pPr>
          </w:p>
        </w:tc>
        <w:tc>
          <w:tcPr>
            <w:tcW w:w="1034" w:type="dxa"/>
            <w:vAlign w:val="center"/>
          </w:tcPr>
          <w:p>
            <w:pPr>
              <w:spacing w:line="400" w:lineRule="exact"/>
              <w:jc w:val="center"/>
              <w:rPr>
                <w:rFonts w:asciiTheme="majorEastAsia" w:hAnsiTheme="majorEastAsia" w:eastAsiaTheme="majorEastAsia"/>
                <w:color w:val="auto"/>
                <w:sz w:val="24"/>
                <w:highlight w:val="none"/>
              </w:rPr>
            </w:pPr>
          </w:p>
        </w:tc>
        <w:tc>
          <w:tcPr>
            <w:tcW w:w="662" w:type="dxa"/>
            <w:vAlign w:val="center"/>
          </w:tcPr>
          <w:p>
            <w:pPr>
              <w:spacing w:line="400" w:lineRule="exact"/>
              <w:jc w:val="center"/>
              <w:rPr>
                <w:rFonts w:asciiTheme="majorEastAsia" w:hAnsiTheme="majorEastAsia" w:eastAsiaTheme="majorEastAsia"/>
                <w:color w:val="auto"/>
                <w:sz w:val="24"/>
                <w:highlight w:val="none"/>
              </w:rPr>
            </w:pPr>
          </w:p>
        </w:tc>
        <w:tc>
          <w:tcPr>
            <w:tcW w:w="658" w:type="dxa"/>
            <w:vAlign w:val="center"/>
          </w:tcPr>
          <w:p>
            <w:pPr>
              <w:spacing w:line="400" w:lineRule="exact"/>
              <w:jc w:val="center"/>
              <w:rPr>
                <w:rFonts w:asciiTheme="majorEastAsia" w:hAnsiTheme="majorEastAsia" w:eastAsiaTheme="majorEastAsia"/>
                <w:color w:val="auto"/>
                <w:sz w:val="24"/>
                <w:highlight w:val="none"/>
              </w:rPr>
            </w:pPr>
          </w:p>
        </w:tc>
        <w:tc>
          <w:tcPr>
            <w:tcW w:w="822" w:type="dxa"/>
            <w:vAlign w:val="center"/>
          </w:tcPr>
          <w:p>
            <w:pPr>
              <w:spacing w:line="400" w:lineRule="exact"/>
              <w:jc w:val="center"/>
              <w:rPr>
                <w:rFonts w:asciiTheme="majorEastAsia" w:hAnsiTheme="majorEastAsia" w:eastAsiaTheme="majorEastAsia"/>
                <w:color w:val="auto"/>
                <w:sz w:val="24"/>
                <w:highlight w:val="none"/>
              </w:rPr>
            </w:pPr>
          </w:p>
        </w:tc>
        <w:tc>
          <w:tcPr>
            <w:tcW w:w="1051" w:type="dxa"/>
            <w:vAlign w:val="center"/>
          </w:tcPr>
          <w:p>
            <w:pPr>
              <w:spacing w:line="400" w:lineRule="exact"/>
              <w:jc w:val="center"/>
              <w:rPr>
                <w:rFonts w:asciiTheme="majorEastAsia" w:hAnsiTheme="majorEastAsia" w:eastAsiaTheme="majorEastAsia"/>
                <w:color w:val="auto"/>
                <w:sz w:val="24"/>
                <w:highlight w:val="none"/>
              </w:rPr>
            </w:pPr>
          </w:p>
        </w:tc>
        <w:tc>
          <w:tcPr>
            <w:tcW w:w="731" w:type="dxa"/>
            <w:vAlign w:val="center"/>
          </w:tcPr>
          <w:p>
            <w:pPr>
              <w:spacing w:line="400" w:lineRule="exact"/>
              <w:jc w:val="center"/>
              <w:rPr>
                <w:rFonts w:asciiTheme="majorEastAsia" w:hAnsiTheme="majorEastAsia" w:eastAsiaTheme="majorEastAsia"/>
                <w:color w:val="auto"/>
                <w:sz w:val="24"/>
                <w:highlight w:val="none"/>
              </w:rPr>
            </w:pPr>
          </w:p>
        </w:tc>
        <w:tc>
          <w:tcPr>
            <w:tcW w:w="579" w:type="dxa"/>
            <w:vAlign w:val="center"/>
          </w:tcPr>
          <w:p>
            <w:pPr>
              <w:spacing w:line="400" w:lineRule="exact"/>
              <w:jc w:val="center"/>
              <w:rPr>
                <w:rFonts w:asciiTheme="majorEastAsia" w:hAnsiTheme="majorEastAsia" w:eastAsiaTheme="majorEastAsia"/>
                <w:color w:val="auto"/>
                <w:sz w:val="24"/>
                <w:highlight w:val="none"/>
              </w:rPr>
            </w:pPr>
          </w:p>
        </w:tc>
        <w:tc>
          <w:tcPr>
            <w:tcW w:w="924" w:type="dxa"/>
            <w:tcBorders>
              <w:right w:val="single" w:color="auto" w:sz="4" w:space="0"/>
            </w:tcBorders>
            <w:vAlign w:val="center"/>
          </w:tcPr>
          <w:p>
            <w:pPr>
              <w:spacing w:line="400" w:lineRule="exact"/>
              <w:jc w:val="center"/>
              <w:rPr>
                <w:rFonts w:asciiTheme="majorEastAsia" w:hAnsiTheme="majorEastAsia" w:eastAsiaTheme="majorEastAsia"/>
                <w:color w:val="auto"/>
                <w:sz w:val="24"/>
                <w:highlight w:val="none"/>
              </w:rPr>
            </w:pPr>
          </w:p>
        </w:tc>
        <w:tc>
          <w:tcPr>
            <w:tcW w:w="709" w:type="dxa"/>
            <w:tcBorders>
              <w:left w:val="single" w:color="auto" w:sz="4" w:space="0"/>
              <w:right w:val="single" w:color="auto" w:sz="6" w:space="0"/>
            </w:tcBorders>
            <w:vAlign w:val="center"/>
          </w:tcPr>
          <w:p>
            <w:pPr>
              <w:spacing w:line="400" w:lineRule="exact"/>
              <w:jc w:val="center"/>
              <w:rPr>
                <w:rFonts w:asciiTheme="majorEastAsia" w:hAnsiTheme="majorEastAsia" w:eastAsiaTheme="majorEastAsia"/>
                <w:color w:val="auto"/>
                <w:sz w:val="24"/>
                <w:highlight w:val="none"/>
              </w:rPr>
            </w:pPr>
          </w:p>
        </w:tc>
        <w:tc>
          <w:tcPr>
            <w:tcW w:w="1283" w:type="dxa"/>
            <w:tcBorders>
              <w:left w:val="single" w:color="auto" w:sz="6" w:space="0"/>
            </w:tcBorders>
            <w:vAlign w:val="center"/>
          </w:tcPr>
          <w:p>
            <w:pPr>
              <w:spacing w:line="400" w:lineRule="exact"/>
              <w:jc w:val="center"/>
              <w:rPr>
                <w:rFonts w:asciiTheme="majorEastAsia" w:hAnsiTheme="majorEastAsia" w:eastAsiaTheme="majorEastAsia"/>
                <w:color w:val="auto"/>
                <w:sz w:val="24"/>
                <w:highlight w:val="none"/>
              </w:rPr>
            </w:pPr>
            <w:r>
              <w:rPr>
                <w:rFonts w:hint="eastAsia" w:cs="宋体" w:asciiTheme="majorEastAsia" w:hAnsiTheme="majorEastAsia" w:eastAsiaTheme="majorEastAsia"/>
                <w:color w:val="auto"/>
                <w:sz w:val="24"/>
                <w:highlight w:val="none"/>
              </w:rPr>
              <w:t>第页</w:t>
            </w:r>
          </w:p>
        </w:tc>
      </w:tr>
    </w:tbl>
    <w:p>
      <w:pPr>
        <w:spacing w:line="500" w:lineRule="exact"/>
        <w:rPr>
          <w:rFonts w:ascii="宋体" w:hAnsi="宋体"/>
          <w:bCs/>
          <w:color w:val="auto"/>
          <w:sz w:val="24"/>
          <w:highlight w:val="none"/>
        </w:rPr>
      </w:pPr>
      <w:r>
        <w:rPr>
          <w:rFonts w:hint="eastAsia" w:ascii="宋体" w:hAnsi="宋体"/>
          <w:bCs/>
          <w:color w:val="auto"/>
          <w:sz w:val="24"/>
          <w:highlight w:val="none"/>
        </w:rPr>
        <w:t>备注</w:t>
      </w:r>
      <w:r>
        <w:rPr>
          <w:rFonts w:hint="eastAsia"/>
          <w:bCs/>
          <w:color w:val="auto"/>
          <w:sz w:val="24"/>
          <w:highlight w:val="none"/>
        </w:rPr>
        <w:t>：</w:t>
      </w:r>
      <w:r>
        <w:rPr>
          <w:rFonts w:hint="eastAsia" w:ascii="宋体" w:hAnsi="宋体"/>
          <w:color w:val="auto"/>
          <w:sz w:val="24"/>
          <w:highlight w:val="none"/>
        </w:rPr>
        <w:t>根据评分表的要求提交相应资料</w:t>
      </w:r>
      <w:r>
        <w:rPr>
          <w:rFonts w:hint="eastAsia" w:ascii="宋体" w:hAnsi="宋体"/>
          <w:bCs/>
          <w:color w:val="auto"/>
          <w:sz w:val="24"/>
          <w:highlight w:val="none"/>
        </w:rPr>
        <w:t>。</w:t>
      </w:r>
    </w:p>
    <w:p>
      <w:pPr>
        <w:spacing w:line="500" w:lineRule="exact"/>
        <w:rPr>
          <w:color w:val="auto"/>
          <w:spacing w:val="4"/>
          <w:sz w:val="24"/>
          <w:highlight w:val="none"/>
          <w:u w:val="single"/>
        </w:rPr>
      </w:pPr>
      <w:bookmarkStart w:id="128" w:name="_Toc435514873"/>
      <w:bookmarkStart w:id="129" w:name="_Toc435515313"/>
      <w:r>
        <w:rPr>
          <w:rFonts w:hint="eastAsia"/>
          <w:color w:val="auto"/>
          <w:spacing w:val="4"/>
          <w:sz w:val="24"/>
          <w:highlight w:val="none"/>
        </w:rPr>
        <w:t>投标人名称（</w:t>
      </w:r>
      <w:r>
        <w:rPr>
          <w:rFonts w:hint="eastAsia" w:ascii="宋体" w:hAnsi="宋体"/>
          <w:color w:val="auto"/>
          <w:sz w:val="24"/>
          <w:highlight w:val="none"/>
        </w:rPr>
        <w:t>单位盖</w:t>
      </w:r>
      <w:r>
        <w:rPr>
          <w:rFonts w:hint="eastAsia"/>
          <w:color w:val="auto"/>
          <w:spacing w:val="4"/>
          <w:sz w:val="24"/>
          <w:highlight w:val="none"/>
        </w:rPr>
        <w:t>公章）：                 日期：</w:t>
      </w:r>
    </w:p>
    <w:p>
      <w:pPr>
        <w:tabs>
          <w:tab w:val="left" w:pos="142"/>
        </w:tabs>
        <w:autoSpaceDE w:val="0"/>
        <w:autoSpaceDN w:val="0"/>
        <w:spacing w:line="360" w:lineRule="auto"/>
        <w:ind w:left="-2" w:leftChars="-1" w:firstLine="2"/>
        <w:jc w:val="center"/>
        <w:outlineLvl w:val="3"/>
        <w:rPr>
          <w:rFonts w:ascii="黑体" w:hAnsi="黑体" w:eastAsia="黑体"/>
          <w:color w:val="auto"/>
          <w:sz w:val="32"/>
          <w:szCs w:val="32"/>
          <w:highlight w:val="none"/>
        </w:rPr>
      </w:pPr>
      <w:r>
        <w:rPr>
          <w:rFonts w:ascii="黑体" w:hAnsi="黑体" w:eastAsia="黑体"/>
          <w:color w:val="auto"/>
          <w:sz w:val="32"/>
          <w:szCs w:val="32"/>
          <w:highlight w:val="none"/>
        </w:rPr>
        <w:br w:type="page"/>
      </w:r>
      <w:r>
        <w:rPr>
          <w:rFonts w:hint="eastAsia" w:ascii="黑体" w:hAnsi="黑体" w:eastAsia="黑体"/>
          <w:color w:val="auto"/>
          <w:sz w:val="32"/>
          <w:szCs w:val="32"/>
          <w:highlight w:val="none"/>
        </w:rPr>
        <w:t>投标人证书一览表</w:t>
      </w:r>
    </w:p>
    <w:p>
      <w:pPr>
        <w:widowControl/>
        <w:snapToGrid w:val="0"/>
        <w:spacing w:line="360" w:lineRule="auto"/>
        <w:jc w:val="left"/>
        <w:rPr>
          <w:rFonts w:ascii="宋体" w:hAnsi="宋体"/>
          <w:color w:val="auto"/>
          <w:sz w:val="24"/>
          <w:highlight w:val="none"/>
        </w:rPr>
      </w:pPr>
      <w:r>
        <w:rPr>
          <w:rFonts w:hint="eastAsia" w:ascii="宋体" w:hAnsi="宋体"/>
          <w:color w:val="auto"/>
          <w:sz w:val="24"/>
          <w:highlight w:val="none"/>
        </w:rPr>
        <w:t>项目名称：2020-2021年食品安全监督抽检项目</w:t>
      </w:r>
    </w:p>
    <w:p>
      <w:pPr>
        <w:widowControl/>
        <w:snapToGrid w:val="0"/>
        <w:spacing w:line="360" w:lineRule="auto"/>
        <w:jc w:val="left"/>
        <w:rPr>
          <w:rFonts w:ascii="宋体" w:hAnsi="宋体"/>
          <w:color w:val="auto"/>
          <w:sz w:val="24"/>
          <w:highlight w:val="none"/>
        </w:rPr>
      </w:pPr>
      <w:r>
        <w:rPr>
          <w:rFonts w:hint="eastAsia" w:ascii="宋体" w:hAnsi="宋体"/>
          <w:color w:val="auto"/>
          <w:sz w:val="24"/>
          <w:highlight w:val="none"/>
        </w:rPr>
        <w:t>包组号：</w:t>
      </w:r>
    </w:p>
    <w:tbl>
      <w:tblPr>
        <w:tblStyle w:val="16"/>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651"/>
        <w:gridCol w:w="1998"/>
        <w:gridCol w:w="2000"/>
        <w:gridCol w:w="1813"/>
        <w:gridCol w:w="181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5" w:hRule="atLeast"/>
        </w:trPr>
        <w:tc>
          <w:tcPr>
            <w:tcW w:w="890" w:type="pct"/>
            <w:shd w:val="clear" w:color="auto" w:fill="E7E6E6" w:themeFill="background2"/>
          </w:tcPr>
          <w:p>
            <w:pPr>
              <w:pStyle w:val="29"/>
              <w:spacing w:line="360" w:lineRule="auto"/>
              <w:jc w:val="center"/>
              <w:rPr>
                <w:rFonts w:ascii="宋体" w:hAnsi="宋体" w:cs="Arial"/>
                <w:b/>
                <w:bCs/>
                <w:color w:val="auto"/>
                <w:sz w:val="24"/>
                <w:szCs w:val="24"/>
                <w:highlight w:val="none"/>
              </w:rPr>
            </w:pPr>
            <w:r>
              <w:rPr>
                <w:rFonts w:hint="eastAsia" w:ascii="宋体" w:hAnsi="宋体" w:cs="Arial"/>
                <w:b/>
                <w:bCs/>
                <w:color w:val="auto"/>
                <w:sz w:val="24"/>
                <w:szCs w:val="24"/>
                <w:highlight w:val="none"/>
              </w:rPr>
              <w:t>证书名称</w:t>
            </w:r>
          </w:p>
        </w:tc>
        <w:tc>
          <w:tcPr>
            <w:tcW w:w="1077" w:type="pct"/>
            <w:shd w:val="clear" w:color="auto" w:fill="E7E6E6" w:themeFill="background2"/>
          </w:tcPr>
          <w:p>
            <w:pPr>
              <w:pStyle w:val="29"/>
              <w:spacing w:line="360" w:lineRule="auto"/>
              <w:jc w:val="center"/>
              <w:rPr>
                <w:rFonts w:ascii="宋体" w:hAnsi="宋体" w:cs="Arial"/>
                <w:b/>
                <w:bCs/>
                <w:color w:val="auto"/>
                <w:sz w:val="24"/>
                <w:szCs w:val="24"/>
                <w:highlight w:val="none"/>
              </w:rPr>
            </w:pPr>
            <w:r>
              <w:rPr>
                <w:rFonts w:hint="eastAsia" w:ascii="宋体" w:hAnsi="宋体" w:cs="Arial"/>
                <w:b/>
                <w:bCs/>
                <w:color w:val="auto"/>
                <w:sz w:val="24"/>
                <w:szCs w:val="24"/>
                <w:highlight w:val="none"/>
              </w:rPr>
              <w:t>发证单位</w:t>
            </w:r>
          </w:p>
        </w:tc>
        <w:tc>
          <w:tcPr>
            <w:tcW w:w="1078" w:type="pct"/>
            <w:shd w:val="clear" w:color="auto" w:fill="E7E6E6" w:themeFill="background2"/>
          </w:tcPr>
          <w:p>
            <w:pPr>
              <w:pStyle w:val="29"/>
              <w:spacing w:line="360" w:lineRule="auto"/>
              <w:jc w:val="center"/>
              <w:rPr>
                <w:rFonts w:ascii="宋体" w:hAnsi="宋体" w:cs="Arial"/>
                <w:b/>
                <w:bCs/>
                <w:color w:val="auto"/>
                <w:sz w:val="24"/>
                <w:szCs w:val="24"/>
                <w:highlight w:val="none"/>
              </w:rPr>
            </w:pPr>
            <w:r>
              <w:rPr>
                <w:rFonts w:hint="eastAsia" w:ascii="宋体" w:hAnsi="宋体" w:cs="Arial"/>
                <w:b/>
                <w:bCs/>
                <w:color w:val="auto"/>
                <w:sz w:val="24"/>
                <w:szCs w:val="24"/>
                <w:highlight w:val="none"/>
              </w:rPr>
              <w:t>证书等级</w:t>
            </w:r>
          </w:p>
        </w:tc>
        <w:tc>
          <w:tcPr>
            <w:tcW w:w="977" w:type="pct"/>
            <w:shd w:val="clear" w:color="auto" w:fill="E7E6E6" w:themeFill="background2"/>
          </w:tcPr>
          <w:p>
            <w:pPr>
              <w:pStyle w:val="29"/>
              <w:spacing w:line="360" w:lineRule="auto"/>
              <w:jc w:val="center"/>
              <w:rPr>
                <w:rFonts w:ascii="宋体" w:hAnsi="宋体" w:cs="Arial"/>
                <w:b/>
                <w:bCs/>
                <w:color w:val="auto"/>
                <w:sz w:val="24"/>
                <w:szCs w:val="24"/>
                <w:highlight w:val="none"/>
              </w:rPr>
            </w:pPr>
            <w:r>
              <w:rPr>
                <w:rFonts w:hint="eastAsia" w:ascii="宋体" w:hAnsi="宋体" w:cs="Arial"/>
                <w:b/>
                <w:bCs/>
                <w:color w:val="auto"/>
                <w:sz w:val="24"/>
                <w:szCs w:val="24"/>
                <w:highlight w:val="none"/>
              </w:rPr>
              <w:t>证书有效期</w:t>
            </w:r>
          </w:p>
        </w:tc>
        <w:tc>
          <w:tcPr>
            <w:tcW w:w="977" w:type="pct"/>
            <w:shd w:val="clear" w:color="auto" w:fill="E7E6E6" w:themeFill="background2"/>
          </w:tcPr>
          <w:p>
            <w:pPr>
              <w:pStyle w:val="29"/>
              <w:spacing w:line="360" w:lineRule="auto"/>
              <w:jc w:val="center"/>
              <w:rPr>
                <w:rFonts w:ascii="宋体" w:hAnsi="宋体" w:cs="Arial"/>
                <w:b/>
                <w:bCs/>
                <w:color w:val="auto"/>
                <w:sz w:val="24"/>
                <w:szCs w:val="24"/>
                <w:highlight w:val="none"/>
              </w:rPr>
            </w:pPr>
            <w:r>
              <w:rPr>
                <w:rFonts w:hint="eastAsia" w:asciiTheme="majorEastAsia" w:hAnsiTheme="majorEastAsia" w:eastAsiaTheme="majorEastAsia"/>
                <w:b/>
                <w:color w:val="auto"/>
                <w:sz w:val="24"/>
                <w:highlight w:val="none"/>
              </w:rPr>
              <w:t>查阅/指引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0" w:type="pct"/>
          </w:tcPr>
          <w:p>
            <w:pPr>
              <w:pStyle w:val="29"/>
              <w:spacing w:line="360" w:lineRule="auto"/>
              <w:jc w:val="center"/>
              <w:rPr>
                <w:rFonts w:ascii="宋体" w:hAnsi="宋体" w:cs="Arial"/>
                <w:color w:val="auto"/>
                <w:sz w:val="24"/>
                <w:szCs w:val="24"/>
                <w:highlight w:val="none"/>
              </w:rPr>
            </w:pPr>
          </w:p>
        </w:tc>
        <w:tc>
          <w:tcPr>
            <w:tcW w:w="1077" w:type="pct"/>
          </w:tcPr>
          <w:p>
            <w:pPr>
              <w:pStyle w:val="29"/>
              <w:spacing w:line="360" w:lineRule="auto"/>
              <w:jc w:val="center"/>
              <w:rPr>
                <w:rFonts w:ascii="宋体" w:hAnsi="宋体" w:cs="Arial"/>
                <w:color w:val="auto"/>
                <w:sz w:val="24"/>
                <w:szCs w:val="24"/>
                <w:highlight w:val="none"/>
              </w:rPr>
            </w:pPr>
          </w:p>
        </w:tc>
        <w:tc>
          <w:tcPr>
            <w:tcW w:w="1078" w:type="pct"/>
          </w:tcPr>
          <w:p>
            <w:pPr>
              <w:pStyle w:val="29"/>
              <w:spacing w:line="360" w:lineRule="auto"/>
              <w:jc w:val="center"/>
              <w:rPr>
                <w:rFonts w:ascii="宋体" w:hAnsi="宋体" w:cs="Arial"/>
                <w:color w:val="auto"/>
                <w:sz w:val="24"/>
                <w:szCs w:val="24"/>
                <w:highlight w:val="none"/>
              </w:rPr>
            </w:pPr>
          </w:p>
        </w:tc>
        <w:tc>
          <w:tcPr>
            <w:tcW w:w="977" w:type="pct"/>
          </w:tcPr>
          <w:p>
            <w:pPr>
              <w:pStyle w:val="29"/>
              <w:spacing w:line="360" w:lineRule="auto"/>
              <w:jc w:val="center"/>
              <w:rPr>
                <w:rFonts w:ascii="宋体" w:hAnsi="宋体" w:cs="Arial"/>
                <w:color w:val="auto"/>
                <w:sz w:val="24"/>
                <w:szCs w:val="24"/>
                <w:highlight w:val="none"/>
              </w:rPr>
            </w:pPr>
          </w:p>
        </w:tc>
        <w:tc>
          <w:tcPr>
            <w:tcW w:w="977" w:type="pct"/>
          </w:tcPr>
          <w:p>
            <w:pPr>
              <w:pStyle w:val="29"/>
              <w:spacing w:line="360" w:lineRule="auto"/>
              <w:jc w:val="center"/>
              <w:rPr>
                <w:rFonts w:ascii="宋体" w:hAnsi="宋体" w:cs="Arial"/>
                <w:color w:val="auto"/>
                <w:sz w:val="24"/>
                <w:szCs w:val="24"/>
                <w:highlight w:val="none"/>
              </w:rPr>
            </w:pPr>
            <w:r>
              <w:rPr>
                <w:rFonts w:hint="eastAsia" w:cs="宋体" w:asciiTheme="majorEastAsia" w:hAnsiTheme="majorEastAsia" w:eastAsiaTheme="majorEastAsia"/>
                <w:color w:val="auto"/>
                <w:sz w:val="24"/>
                <w:highlight w:val="none"/>
              </w:rPr>
              <w:t>第页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0" w:type="pct"/>
          </w:tcPr>
          <w:p>
            <w:pPr>
              <w:pStyle w:val="29"/>
              <w:spacing w:line="360" w:lineRule="auto"/>
              <w:jc w:val="center"/>
              <w:rPr>
                <w:rFonts w:ascii="宋体" w:hAnsi="宋体" w:cs="Arial"/>
                <w:color w:val="auto"/>
                <w:sz w:val="24"/>
                <w:szCs w:val="24"/>
                <w:highlight w:val="none"/>
              </w:rPr>
            </w:pPr>
          </w:p>
        </w:tc>
        <w:tc>
          <w:tcPr>
            <w:tcW w:w="1077" w:type="pct"/>
          </w:tcPr>
          <w:p>
            <w:pPr>
              <w:pStyle w:val="29"/>
              <w:spacing w:line="360" w:lineRule="auto"/>
              <w:jc w:val="center"/>
              <w:rPr>
                <w:rFonts w:ascii="宋体" w:hAnsi="宋体" w:cs="Arial"/>
                <w:color w:val="auto"/>
                <w:sz w:val="24"/>
                <w:szCs w:val="24"/>
                <w:highlight w:val="none"/>
              </w:rPr>
            </w:pPr>
          </w:p>
        </w:tc>
        <w:tc>
          <w:tcPr>
            <w:tcW w:w="1078" w:type="pct"/>
          </w:tcPr>
          <w:p>
            <w:pPr>
              <w:pStyle w:val="29"/>
              <w:spacing w:line="360" w:lineRule="auto"/>
              <w:jc w:val="center"/>
              <w:rPr>
                <w:rFonts w:ascii="宋体" w:hAnsi="宋体" w:cs="Arial"/>
                <w:color w:val="auto"/>
                <w:sz w:val="24"/>
                <w:szCs w:val="24"/>
                <w:highlight w:val="none"/>
              </w:rPr>
            </w:pPr>
          </w:p>
        </w:tc>
        <w:tc>
          <w:tcPr>
            <w:tcW w:w="977" w:type="pct"/>
          </w:tcPr>
          <w:p>
            <w:pPr>
              <w:pStyle w:val="29"/>
              <w:spacing w:line="360" w:lineRule="auto"/>
              <w:jc w:val="center"/>
              <w:rPr>
                <w:rFonts w:ascii="宋体" w:hAnsi="宋体" w:cs="Arial"/>
                <w:color w:val="auto"/>
                <w:sz w:val="24"/>
                <w:szCs w:val="24"/>
                <w:highlight w:val="none"/>
              </w:rPr>
            </w:pPr>
          </w:p>
        </w:tc>
        <w:tc>
          <w:tcPr>
            <w:tcW w:w="977" w:type="pct"/>
          </w:tcPr>
          <w:p>
            <w:pPr>
              <w:pStyle w:val="29"/>
              <w:spacing w:line="360" w:lineRule="auto"/>
              <w:jc w:val="center"/>
              <w:rPr>
                <w:rFonts w:ascii="宋体" w:hAnsi="宋体" w:cs="Arial"/>
                <w:color w:val="auto"/>
                <w:sz w:val="24"/>
                <w:szCs w:val="24"/>
                <w:highlight w:val="none"/>
              </w:rPr>
            </w:pPr>
            <w:r>
              <w:rPr>
                <w:rFonts w:hint="eastAsia" w:cs="宋体" w:asciiTheme="majorEastAsia" w:hAnsiTheme="majorEastAsia" w:eastAsiaTheme="majorEastAsia"/>
                <w:color w:val="auto"/>
                <w:sz w:val="24"/>
                <w:highlight w:val="none"/>
              </w:rPr>
              <w:t>第页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0" w:type="pct"/>
          </w:tcPr>
          <w:p>
            <w:pPr>
              <w:pStyle w:val="29"/>
              <w:spacing w:line="360" w:lineRule="auto"/>
              <w:jc w:val="center"/>
              <w:rPr>
                <w:rFonts w:ascii="宋体" w:hAnsi="宋体" w:cs="Arial"/>
                <w:color w:val="auto"/>
                <w:sz w:val="24"/>
                <w:szCs w:val="24"/>
                <w:highlight w:val="none"/>
              </w:rPr>
            </w:pPr>
          </w:p>
        </w:tc>
        <w:tc>
          <w:tcPr>
            <w:tcW w:w="1077" w:type="pct"/>
          </w:tcPr>
          <w:p>
            <w:pPr>
              <w:pStyle w:val="29"/>
              <w:spacing w:line="360" w:lineRule="auto"/>
              <w:jc w:val="center"/>
              <w:rPr>
                <w:rFonts w:ascii="宋体" w:hAnsi="宋体" w:cs="Arial"/>
                <w:color w:val="auto"/>
                <w:sz w:val="24"/>
                <w:szCs w:val="24"/>
                <w:highlight w:val="none"/>
              </w:rPr>
            </w:pPr>
          </w:p>
        </w:tc>
        <w:tc>
          <w:tcPr>
            <w:tcW w:w="1078" w:type="pct"/>
          </w:tcPr>
          <w:p>
            <w:pPr>
              <w:pStyle w:val="29"/>
              <w:spacing w:line="360" w:lineRule="auto"/>
              <w:jc w:val="center"/>
              <w:rPr>
                <w:rFonts w:ascii="宋体" w:hAnsi="宋体" w:cs="Arial"/>
                <w:color w:val="auto"/>
                <w:sz w:val="24"/>
                <w:szCs w:val="24"/>
                <w:highlight w:val="none"/>
              </w:rPr>
            </w:pPr>
          </w:p>
        </w:tc>
        <w:tc>
          <w:tcPr>
            <w:tcW w:w="977" w:type="pct"/>
          </w:tcPr>
          <w:p>
            <w:pPr>
              <w:pStyle w:val="29"/>
              <w:spacing w:line="360" w:lineRule="auto"/>
              <w:jc w:val="center"/>
              <w:rPr>
                <w:rFonts w:ascii="宋体" w:hAnsi="宋体" w:cs="Arial"/>
                <w:color w:val="auto"/>
                <w:sz w:val="24"/>
                <w:szCs w:val="24"/>
                <w:highlight w:val="none"/>
              </w:rPr>
            </w:pPr>
          </w:p>
        </w:tc>
        <w:tc>
          <w:tcPr>
            <w:tcW w:w="977" w:type="pct"/>
          </w:tcPr>
          <w:p>
            <w:pPr>
              <w:pStyle w:val="29"/>
              <w:spacing w:line="360" w:lineRule="auto"/>
              <w:jc w:val="center"/>
              <w:rPr>
                <w:rFonts w:ascii="宋体" w:hAnsi="宋体" w:cs="Arial"/>
                <w:color w:val="auto"/>
                <w:sz w:val="24"/>
                <w:szCs w:val="24"/>
                <w:highlight w:val="none"/>
              </w:rPr>
            </w:pPr>
            <w:r>
              <w:rPr>
                <w:rFonts w:hint="eastAsia" w:cs="宋体" w:asciiTheme="majorEastAsia" w:hAnsiTheme="majorEastAsia" w:eastAsiaTheme="majorEastAsia"/>
                <w:color w:val="auto"/>
                <w:sz w:val="24"/>
                <w:highlight w:val="none"/>
              </w:rPr>
              <w:t>第页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0" w:type="pct"/>
          </w:tcPr>
          <w:p>
            <w:pPr>
              <w:pStyle w:val="29"/>
              <w:spacing w:line="360" w:lineRule="auto"/>
              <w:jc w:val="center"/>
              <w:rPr>
                <w:rFonts w:ascii="宋体" w:hAnsi="宋体" w:cs="Arial"/>
                <w:color w:val="auto"/>
                <w:sz w:val="24"/>
                <w:szCs w:val="24"/>
                <w:highlight w:val="none"/>
              </w:rPr>
            </w:pPr>
          </w:p>
        </w:tc>
        <w:tc>
          <w:tcPr>
            <w:tcW w:w="1077" w:type="pct"/>
          </w:tcPr>
          <w:p>
            <w:pPr>
              <w:pStyle w:val="29"/>
              <w:spacing w:line="360" w:lineRule="auto"/>
              <w:jc w:val="center"/>
              <w:rPr>
                <w:rFonts w:ascii="宋体" w:hAnsi="宋体" w:cs="Arial"/>
                <w:color w:val="auto"/>
                <w:sz w:val="24"/>
                <w:szCs w:val="24"/>
                <w:highlight w:val="none"/>
              </w:rPr>
            </w:pPr>
          </w:p>
        </w:tc>
        <w:tc>
          <w:tcPr>
            <w:tcW w:w="1078" w:type="pct"/>
          </w:tcPr>
          <w:p>
            <w:pPr>
              <w:pStyle w:val="29"/>
              <w:spacing w:line="360" w:lineRule="auto"/>
              <w:jc w:val="center"/>
              <w:rPr>
                <w:rFonts w:ascii="宋体" w:hAnsi="宋体" w:cs="Arial"/>
                <w:color w:val="auto"/>
                <w:sz w:val="24"/>
                <w:szCs w:val="24"/>
                <w:highlight w:val="none"/>
              </w:rPr>
            </w:pPr>
          </w:p>
        </w:tc>
        <w:tc>
          <w:tcPr>
            <w:tcW w:w="977" w:type="pct"/>
          </w:tcPr>
          <w:p>
            <w:pPr>
              <w:pStyle w:val="29"/>
              <w:spacing w:line="360" w:lineRule="auto"/>
              <w:jc w:val="center"/>
              <w:rPr>
                <w:rFonts w:ascii="宋体" w:hAnsi="宋体" w:cs="Arial"/>
                <w:color w:val="auto"/>
                <w:sz w:val="24"/>
                <w:szCs w:val="24"/>
                <w:highlight w:val="none"/>
              </w:rPr>
            </w:pPr>
          </w:p>
        </w:tc>
        <w:tc>
          <w:tcPr>
            <w:tcW w:w="977" w:type="pct"/>
          </w:tcPr>
          <w:p>
            <w:pPr>
              <w:pStyle w:val="29"/>
              <w:spacing w:line="360" w:lineRule="auto"/>
              <w:jc w:val="center"/>
              <w:rPr>
                <w:rFonts w:ascii="宋体" w:hAnsi="宋体" w:cs="Arial"/>
                <w:color w:val="auto"/>
                <w:sz w:val="24"/>
                <w:szCs w:val="24"/>
                <w:highlight w:val="none"/>
              </w:rPr>
            </w:pPr>
            <w:r>
              <w:rPr>
                <w:rFonts w:hint="eastAsia" w:cs="宋体" w:asciiTheme="majorEastAsia" w:hAnsiTheme="majorEastAsia" w:eastAsiaTheme="majorEastAsia"/>
                <w:color w:val="auto"/>
                <w:sz w:val="24"/>
                <w:highlight w:val="none"/>
              </w:rPr>
              <w:t>第页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0" w:type="pct"/>
          </w:tcPr>
          <w:p>
            <w:pPr>
              <w:pStyle w:val="29"/>
              <w:spacing w:line="360" w:lineRule="auto"/>
              <w:jc w:val="center"/>
              <w:rPr>
                <w:rFonts w:ascii="宋体" w:hAnsi="宋体" w:cs="Arial"/>
                <w:color w:val="auto"/>
                <w:sz w:val="24"/>
                <w:szCs w:val="24"/>
                <w:highlight w:val="none"/>
              </w:rPr>
            </w:pPr>
          </w:p>
        </w:tc>
        <w:tc>
          <w:tcPr>
            <w:tcW w:w="1077" w:type="pct"/>
          </w:tcPr>
          <w:p>
            <w:pPr>
              <w:pStyle w:val="29"/>
              <w:spacing w:line="360" w:lineRule="auto"/>
              <w:jc w:val="center"/>
              <w:rPr>
                <w:rFonts w:ascii="宋体" w:hAnsi="宋体" w:cs="Arial"/>
                <w:color w:val="auto"/>
                <w:sz w:val="24"/>
                <w:szCs w:val="24"/>
                <w:highlight w:val="none"/>
              </w:rPr>
            </w:pPr>
          </w:p>
        </w:tc>
        <w:tc>
          <w:tcPr>
            <w:tcW w:w="1078" w:type="pct"/>
          </w:tcPr>
          <w:p>
            <w:pPr>
              <w:pStyle w:val="29"/>
              <w:spacing w:line="360" w:lineRule="auto"/>
              <w:jc w:val="center"/>
              <w:rPr>
                <w:rFonts w:ascii="宋体" w:hAnsi="宋体" w:cs="Arial"/>
                <w:color w:val="auto"/>
                <w:sz w:val="24"/>
                <w:szCs w:val="24"/>
                <w:highlight w:val="none"/>
              </w:rPr>
            </w:pPr>
          </w:p>
        </w:tc>
        <w:tc>
          <w:tcPr>
            <w:tcW w:w="977" w:type="pct"/>
          </w:tcPr>
          <w:p>
            <w:pPr>
              <w:pStyle w:val="29"/>
              <w:spacing w:line="360" w:lineRule="auto"/>
              <w:jc w:val="center"/>
              <w:rPr>
                <w:rFonts w:ascii="宋体" w:hAnsi="宋体" w:cs="Arial"/>
                <w:color w:val="auto"/>
                <w:sz w:val="24"/>
                <w:szCs w:val="24"/>
                <w:highlight w:val="none"/>
              </w:rPr>
            </w:pPr>
          </w:p>
        </w:tc>
        <w:tc>
          <w:tcPr>
            <w:tcW w:w="977" w:type="pct"/>
          </w:tcPr>
          <w:p>
            <w:pPr>
              <w:pStyle w:val="29"/>
              <w:spacing w:line="360" w:lineRule="auto"/>
              <w:jc w:val="center"/>
              <w:rPr>
                <w:rFonts w:ascii="宋体" w:hAnsi="宋体" w:cs="Arial"/>
                <w:color w:val="auto"/>
                <w:sz w:val="24"/>
                <w:szCs w:val="24"/>
                <w:highlight w:val="none"/>
              </w:rPr>
            </w:pPr>
            <w:r>
              <w:rPr>
                <w:rFonts w:hint="eastAsia" w:cs="宋体" w:asciiTheme="majorEastAsia" w:hAnsiTheme="majorEastAsia" w:eastAsiaTheme="majorEastAsia"/>
                <w:color w:val="auto"/>
                <w:sz w:val="24"/>
                <w:highlight w:val="none"/>
              </w:rPr>
              <w:t>第页</w:t>
            </w:r>
          </w:p>
        </w:tc>
      </w:tr>
    </w:tbl>
    <w:p>
      <w:pPr>
        <w:pStyle w:val="24"/>
        <w:widowControl/>
        <w:numPr>
          <w:ilvl w:val="0"/>
          <w:numId w:val="117"/>
        </w:numPr>
        <w:tabs>
          <w:tab w:val="left" w:pos="0"/>
        </w:tabs>
        <w:spacing w:line="360" w:lineRule="auto"/>
        <w:ind w:left="0" w:firstLine="0" w:firstLineChars="0"/>
        <w:rPr>
          <w:rFonts w:ascii="宋体" w:hAnsi="宋体"/>
          <w:color w:val="auto"/>
          <w:sz w:val="24"/>
          <w:highlight w:val="none"/>
        </w:rPr>
      </w:pPr>
      <w:r>
        <w:rPr>
          <w:rFonts w:hint="eastAsia" w:ascii="宋体" w:hAnsi="宋体"/>
          <w:color w:val="auto"/>
          <w:sz w:val="24"/>
          <w:highlight w:val="none"/>
        </w:rPr>
        <w:t>请根据评分表中要求填写投标人获得资质、认证或企业信誉证书。</w:t>
      </w:r>
    </w:p>
    <w:p>
      <w:pPr>
        <w:pStyle w:val="24"/>
        <w:widowControl/>
        <w:numPr>
          <w:ilvl w:val="0"/>
          <w:numId w:val="117"/>
        </w:numPr>
        <w:tabs>
          <w:tab w:val="left" w:pos="1050"/>
        </w:tabs>
        <w:spacing w:line="360" w:lineRule="auto"/>
        <w:ind w:firstLineChars="0"/>
        <w:rPr>
          <w:rFonts w:ascii="宋体" w:hAnsi="宋体"/>
          <w:color w:val="auto"/>
          <w:sz w:val="24"/>
          <w:highlight w:val="none"/>
        </w:rPr>
      </w:pPr>
      <w:r>
        <w:rPr>
          <w:rFonts w:hint="eastAsia" w:ascii="宋体" w:hAnsi="宋体"/>
          <w:color w:val="auto"/>
          <w:sz w:val="24"/>
          <w:highlight w:val="none"/>
        </w:rPr>
        <w:t>请提供本表所列的证书资料。</w:t>
      </w:r>
    </w:p>
    <w:p>
      <w:pPr>
        <w:spacing w:line="500" w:lineRule="exact"/>
        <w:rPr>
          <w:rFonts w:ascii="宋体" w:hAnsi="宋体"/>
          <w:color w:val="auto"/>
          <w:sz w:val="24"/>
          <w:highlight w:val="none"/>
          <w:u w:val="single"/>
        </w:rPr>
      </w:pPr>
      <w:r>
        <w:rPr>
          <w:rFonts w:hint="eastAsia"/>
          <w:color w:val="auto"/>
          <w:spacing w:val="4"/>
          <w:sz w:val="24"/>
          <w:highlight w:val="none"/>
        </w:rPr>
        <w:t>投标人名称（</w:t>
      </w:r>
      <w:r>
        <w:rPr>
          <w:rFonts w:hint="eastAsia" w:ascii="宋体" w:hAnsi="宋体"/>
          <w:color w:val="auto"/>
          <w:sz w:val="24"/>
          <w:highlight w:val="none"/>
        </w:rPr>
        <w:t>单位盖</w:t>
      </w:r>
      <w:r>
        <w:rPr>
          <w:rFonts w:hint="eastAsia"/>
          <w:color w:val="auto"/>
          <w:spacing w:val="4"/>
          <w:sz w:val="24"/>
          <w:highlight w:val="none"/>
        </w:rPr>
        <w:t>公章）：</w:t>
      </w:r>
    </w:p>
    <w:p>
      <w:pPr>
        <w:spacing w:line="440" w:lineRule="exact"/>
        <w:rPr>
          <w:color w:val="auto"/>
          <w:spacing w:val="4"/>
          <w:sz w:val="24"/>
          <w:highlight w:val="none"/>
          <w:u w:val="single"/>
        </w:rPr>
      </w:pPr>
      <w:r>
        <w:rPr>
          <w:rFonts w:hint="eastAsia"/>
          <w:color w:val="auto"/>
          <w:spacing w:val="4"/>
          <w:sz w:val="24"/>
          <w:highlight w:val="none"/>
        </w:rPr>
        <w:t>日期：</w:t>
      </w:r>
    </w:p>
    <w:p>
      <w:pPr>
        <w:rPr>
          <w:color w:val="auto"/>
          <w:highlight w:val="none"/>
        </w:rPr>
      </w:pPr>
    </w:p>
    <w:p>
      <w:pPr>
        <w:tabs>
          <w:tab w:val="left" w:pos="142"/>
        </w:tabs>
        <w:autoSpaceDE w:val="0"/>
        <w:autoSpaceDN w:val="0"/>
        <w:spacing w:line="360" w:lineRule="auto"/>
        <w:ind w:left="-2" w:leftChars="-1" w:firstLine="2"/>
        <w:jc w:val="center"/>
        <w:outlineLvl w:val="3"/>
        <w:rPr>
          <w:rFonts w:ascii="黑体" w:hAnsi="黑体" w:eastAsia="黑体"/>
          <w:color w:val="auto"/>
          <w:sz w:val="32"/>
          <w:szCs w:val="32"/>
          <w:highlight w:val="none"/>
        </w:rPr>
      </w:pPr>
      <w:r>
        <w:rPr>
          <w:rFonts w:hint="eastAsia" w:ascii="黑体" w:hAnsi="黑体" w:eastAsia="黑体"/>
          <w:color w:val="auto"/>
          <w:sz w:val="32"/>
          <w:szCs w:val="32"/>
          <w:highlight w:val="none"/>
        </w:rPr>
        <w:t>合同条款响应一览表</w:t>
      </w:r>
      <w:bookmarkEnd w:id="128"/>
      <w:bookmarkEnd w:id="129"/>
    </w:p>
    <w:p>
      <w:pPr>
        <w:snapToGrid w:val="0"/>
        <w:spacing w:line="360" w:lineRule="auto"/>
        <w:ind w:left="1080" w:hanging="1080" w:hangingChars="450"/>
        <w:rPr>
          <w:rFonts w:ascii="宋体" w:hAnsi="宋体"/>
          <w:color w:val="auto"/>
          <w:sz w:val="24"/>
          <w:highlight w:val="none"/>
        </w:rPr>
      </w:pPr>
      <w:r>
        <w:rPr>
          <w:rFonts w:hint="eastAsia" w:ascii="宋体" w:hAnsi="宋体"/>
          <w:color w:val="auto"/>
          <w:sz w:val="24"/>
          <w:highlight w:val="none"/>
        </w:rPr>
        <w:t>说明：投标人应对招标文件的</w:t>
      </w:r>
      <w:r>
        <w:rPr>
          <w:rFonts w:hint="eastAsia"/>
          <w:color w:val="auto"/>
          <w:sz w:val="24"/>
          <w:highlight w:val="none"/>
        </w:rPr>
        <w:t>合同</w:t>
      </w:r>
      <w:r>
        <w:rPr>
          <w:rFonts w:hint="eastAsia" w:ascii="宋体" w:hAnsi="宋体"/>
          <w:color w:val="auto"/>
          <w:sz w:val="24"/>
          <w:highlight w:val="none"/>
        </w:rPr>
        <w:t>条款逐条应答并按要求填写下表。</w:t>
      </w:r>
    </w:p>
    <w:p>
      <w:pPr>
        <w:widowControl/>
        <w:snapToGrid w:val="0"/>
        <w:spacing w:line="360" w:lineRule="auto"/>
        <w:jc w:val="left"/>
        <w:rPr>
          <w:rFonts w:ascii="宋体" w:hAnsi="宋体"/>
          <w:color w:val="auto"/>
          <w:sz w:val="24"/>
          <w:highlight w:val="none"/>
        </w:rPr>
      </w:pPr>
      <w:r>
        <w:rPr>
          <w:rFonts w:hint="eastAsia" w:ascii="宋体" w:hAnsi="宋体"/>
          <w:color w:val="auto"/>
          <w:sz w:val="24"/>
          <w:highlight w:val="none"/>
        </w:rPr>
        <w:t>项目名称：2020-2021年食品安全监督抽检项目</w:t>
      </w:r>
    </w:p>
    <w:p>
      <w:pPr>
        <w:widowControl/>
        <w:snapToGrid w:val="0"/>
        <w:spacing w:line="360" w:lineRule="auto"/>
        <w:jc w:val="left"/>
        <w:rPr>
          <w:rFonts w:ascii="宋体" w:hAnsi="宋体"/>
          <w:color w:val="auto"/>
          <w:sz w:val="24"/>
          <w:highlight w:val="none"/>
        </w:rPr>
      </w:pPr>
      <w:r>
        <w:rPr>
          <w:rFonts w:hint="eastAsia" w:ascii="宋体" w:hAnsi="宋体"/>
          <w:color w:val="auto"/>
          <w:sz w:val="24"/>
          <w:highlight w:val="none"/>
        </w:rPr>
        <w:t>包组号：</w:t>
      </w: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83"/>
        <w:gridCol w:w="3422"/>
        <w:gridCol w:w="3191"/>
        <w:gridCol w:w="189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9" w:hRule="atLeast"/>
          <w:jc w:val="center"/>
        </w:trPr>
        <w:tc>
          <w:tcPr>
            <w:tcW w:w="583" w:type="dxa"/>
            <w:shd w:val="clear" w:color="auto" w:fill="EEECE1"/>
            <w:vAlign w:val="center"/>
          </w:tcPr>
          <w:p>
            <w:pPr>
              <w:spacing w:line="400" w:lineRule="exact"/>
              <w:ind w:left="-54" w:leftChars="-27" w:right="-64" w:rightChars="-32"/>
              <w:jc w:val="center"/>
              <w:rPr>
                <w:rFonts w:ascii="宋体" w:hAnsi="宋体"/>
                <w:color w:val="auto"/>
                <w:sz w:val="24"/>
                <w:highlight w:val="none"/>
              </w:rPr>
            </w:pPr>
            <w:r>
              <w:rPr>
                <w:rFonts w:hint="eastAsia" w:ascii="宋体" w:hAnsi="宋体"/>
                <w:color w:val="auto"/>
                <w:sz w:val="24"/>
                <w:highlight w:val="none"/>
              </w:rPr>
              <w:t>序号</w:t>
            </w:r>
          </w:p>
        </w:tc>
        <w:tc>
          <w:tcPr>
            <w:tcW w:w="3422" w:type="dxa"/>
            <w:shd w:val="clear" w:color="auto" w:fill="EEECE1"/>
            <w:vAlign w:val="center"/>
          </w:tcPr>
          <w:p>
            <w:pPr>
              <w:jc w:val="center"/>
              <w:rPr>
                <w:rFonts w:ascii="宋体" w:hAnsi="宋体"/>
                <w:color w:val="auto"/>
                <w:sz w:val="24"/>
                <w:highlight w:val="none"/>
              </w:rPr>
            </w:pPr>
            <w:r>
              <w:rPr>
                <w:rFonts w:hint="eastAsia" w:ascii="宋体" w:hAnsi="宋体"/>
                <w:color w:val="auto"/>
                <w:sz w:val="24"/>
                <w:highlight w:val="none"/>
              </w:rPr>
              <w:t>招标文件中合同条款描述</w:t>
            </w:r>
          </w:p>
        </w:tc>
        <w:tc>
          <w:tcPr>
            <w:tcW w:w="3191" w:type="dxa"/>
            <w:shd w:val="clear" w:color="auto" w:fill="EEECE1"/>
            <w:vAlign w:val="center"/>
          </w:tcPr>
          <w:p>
            <w:pPr>
              <w:jc w:val="center"/>
              <w:rPr>
                <w:rFonts w:ascii="宋体" w:hAnsi="宋体"/>
                <w:color w:val="auto"/>
                <w:sz w:val="24"/>
                <w:highlight w:val="none"/>
              </w:rPr>
            </w:pPr>
            <w:r>
              <w:rPr>
                <w:rFonts w:hint="eastAsia" w:ascii="宋体" w:hAnsi="宋体"/>
                <w:color w:val="auto"/>
                <w:sz w:val="24"/>
                <w:highlight w:val="none"/>
              </w:rPr>
              <w:t>投标人响应描述</w:t>
            </w:r>
          </w:p>
        </w:tc>
        <w:tc>
          <w:tcPr>
            <w:tcW w:w="1891" w:type="dxa"/>
            <w:shd w:val="clear" w:color="auto" w:fill="EEECE1"/>
            <w:vAlign w:val="center"/>
          </w:tcPr>
          <w:p>
            <w:pPr>
              <w:jc w:val="center"/>
              <w:rPr>
                <w:rFonts w:ascii="宋体" w:hAnsi="宋体"/>
                <w:color w:val="auto"/>
                <w:sz w:val="24"/>
                <w:highlight w:val="none"/>
              </w:rPr>
            </w:pPr>
            <w:r>
              <w:rPr>
                <w:rFonts w:hint="eastAsia" w:ascii="宋体" w:hAnsi="宋体"/>
                <w:color w:val="auto"/>
                <w:sz w:val="24"/>
                <w:highlight w:val="none"/>
              </w:rPr>
              <w:t>偏离情况说明</w:t>
            </w:r>
          </w:p>
          <w:p>
            <w:pPr>
              <w:jc w:val="center"/>
              <w:rPr>
                <w:rFonts w:ascii="宋体" w:hAnsi="宋体"/>
                <w:color w:val="auto"/>
                <w:sz w:val="24"/>
                <w:highlight w:val="none"/>
              </w:rPr>
            </w:pPr>
            <w:r>
              <w:rPr>
                <w:rFonts w:hint="eastAsia" w:ascii="宋体" w:hAnsi="宋体"/>
                <w:color w:val="auto"/>
                <w:sz w:val="24"/>
                <w:highlight w:val="none"/>
              </w:rPr>
              <w:t>（正偏离/完全响应/负偏离）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3" w:type="dxa"/>
            <w:vAlign w:val="center"/>
          </w:tcPr>
          <w:p>
            <w:pPr>
              <w:numPr>
                <w:ilvl w:val="0"/>
                <w:numId w:val="118"/>
              </w:numPr>
              <w:spacing w:line="400" w:lineRule="exact"/>
              <w:jc w:val="center"/>
              <w:rPr>
                <w:rFonts w:ascii="宋体" w:hAnsi="宋体"/>
                <w:color w:val="auto"/>
                <w:sz w:val="24"/>
                <w:highlight w:val="none"/>
              </w:rPr>
            </w:pPr>
          </w:p>
        </w:tc>
        <w:tc>
          <w:tcPr>
            <w:tcW w:w="3422" w:type="dxa"/>
            <w:vAlign w:val="center"/>
          </w:tcPr>
          <w:p>
            <w:pPr>
              <w:pStyle w:val="8"/>
              <w:tabs>
                <w:tab w:val="left" w:pos="2340"/>
              </w:tabs>
              <w:rPr>
                <w:rFonts w:hAnsi="宋体"/>
                <w:color w:val="auto"/>
                <w:sz w:val="24"/>
                <w:szCs w:val="24"/>
                <w:highlight w:val="none"/>
              </w:rPr>
            </w:pPr>
          </w:p>
        </w:tc>
        <w:tc>
          <w:tcPr>
            <w:tcW w:w="3191" w:type="dxa"/>
            <w:vAlign w:val="center"/>
          </w:tcPr>
          <w:p>
            <w:pPr>
              <w:spacing w:line="400" w:lineRule="exact"/>
              <w:jc w:val="center"/>
              <w:rPr>
                <w:rFonts w:ascii="宋体" w:hAnsi="宋体"/>
                <w:color w:val="auto"/>
                <w:sz w:val="24"/>
                <w:highlight w:val="none"/>
              </w:rPr>
            </w:pPr>
          </w:p>
        </w:tc>
        <w:tc>
          <w:tcPr>
            <w:tcW w:w="1891" w:type="dxa"/>
            <w:vAlign w:val="center"/>
          </w:tcPr>
          <w:p>
            <w:pPr>
              <w:spacing w:line="400" w:lineRule="exact"/>
              <w:jc w:val="center"/>
              <w:rPr>
                <w:rFonts w:ascii="宋体" w:hAnsi="宋体"/>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3" w:type="dxa"/>
            <w:vAlign w:val="center"/>
          </w:tcPr>
          <w:p>
            <w:pPr>
              <w:numPr>
                <w:ilvl w:val="0"/>
                <w:numId w:val="118"/>
              </w:numPr>
              <w:spacing w:line="400" w:lineRule="exact"/>
              <w:jc w:val="center"/>
              <w:rPr>
                <w:rFonts w:ascii="宋体" w:hAnsi="宋体"/>
                <w:color w:val="auto"/>
                <w:sz w:val="24"/>
                <w:highlight w:val="none"/>
              </w:rPr>
            </w:pPr>
          </w:p>
        </w:tc>
        <w:tc>
          <w:tcPr>
            <w:tcW w:w="3422" w:type="dxa"/>
            <w:vAlign w:val="center"/>
          </w:tcPr>
          <w:p>
            <w:pPr>
              <w:rPr>
                <w:rFonts w:ascii="宋体" w:hAnsi="宋体"/>
                <w:snapToGrid w:val="0"/>
                <w:color w:val="auto"/>
                <w:sz w:val="24"/>
                <w:highlight w:val="none"/>
              </w:rPr>
            </w:pPr>
          </w:p>
        </w:tc>
        <w:tc>
          <w:tcPr>
            <w:tcW w:w="3191" w:type="dxa"/>
            <w:vAlign w:val="center"/>
          </w:tcPr>
          <w:p>
            <w:pPr>
              <w:spacing w:line="400" w:lineRule="exact"/>
              <w:jc w:val="center"/>
              <w:rPr>
                <w:rFonts w:ascii="宋体" w:hAnsi="宋体"/>
                <w:color w:val="auto"/>
                <w:sz w:val="24"/>
                <w:highlight w:val="none"/>
              </w:rPr>
            </w:pPr>
          </w:p>
        </w:tc>
        <w:tc>
          <w:tcPr>
            <w:tcW w:w="1891" w:type="dxa"/>
            <w:vAlign w:val="center"/>
          </w:tcPr>
          <w:p>
            <w:pPr>
              <w:spacing w:line="400" w:lineRule="exact"/>
              <w:jc w:val="center"/>
              <w:rPr>
                <w:rFonts w:ascii="宋体" w:hAnsi="宋体"/>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jc w:val="center"/>
        </w:trPr>
        <w:tc>
          <w:tcPr>
            <w:tcW w:w="583" w:type="dxa"/>
            <w:vAlign w:val="center"/>
          </w:tcPr>
          <w:p>
            <w:pPr>
              <w:numPr>
                <w:ilvl w:val="0"/>
                <w:numId w:val="118"/>
              </w:numPr>
              <w:spacing w:line="400" w:lineRule="exact"/>
              <w:jc w:val="center"/>
              <w:rPr>
                <w:rFonts w:ascii="宋体" w:hAnsi="宋体"/>
                <w:color w:val="auto"/>
                <w:sz w:val="24"/>
                <w:highlight w:val="none"/>
              </w:rPr>
            </w:pPr>
          </w:p>
        </w:tc>
        <w:tc>
          <w:tcPr>
            <w:tcW w:w="3422" w:type="dxa"/>
            <w:vAlign w:val="center"/>
          </w:tcPr>
          <w:p>
            <w:pPr>
              <w:rPr>
                <w:rFonts w:ascii="宋体" w:hAnsi="宋体"/>
                <w:snapToGrid w:val="0"/>
                <w:color w:val="auto"/>
                <w:sz w:val="24"/>
                <w:highlight w:val="none"/>
              </w:rPr>
            </w:pPr>
          </w:p>
        </w:tc>
        <w:tc>
          <w:tcPr>
            <w:tcW w:w="3191" w:type="dxa"/>
            <w:vAlign w:val="center"/>
          </w:tcPr>
          <w:p>
            <w:pPr>
              <w:spacing w:line="400" w:lineRule="exact"/>
              <w:jc w:val="center"/>
              <w:rPr>
                <w:rFonts w:ascii="宋体" w:hAnsi="宋体"/>
                <w:color w:val="auto"/>
                <w:sz w:val="24"/>
                <w:highlight w:val="none"/>
              </w:rPr>
            </w:pPr>
          </w:p>
        </w:tc>
        <w:tc>
          <w:tcPr>
            <w:tcW w:w="1891" w:type="dxa"/>
            <w:vAlign w:val="center"/>
          </w:tcPr>
          <w:p>
            <w:pPr>
              <w:spacing w:line="400" w:lineRule="exact"/>
              <w:jc w:val="center"/>
              <w:rPr>
                <w:rFonts w:ascii="宋体" w:hAnsi="宋体"/>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3" w:type="dxa"/>
            <w:vAlign w:val="center"/>
          </w:tcPr>
          <w:p>
            <w:pPr>
              <w:numPr>
                <w:ilvl w:val="0"/>
                <w:numId w:val="118"/>
              </w:numPr>
              <w:spacing w:line="400" w:lineRule="exact"/>
              <w:jc w:val="center"/>
              <w:rPr>
                <w:rFonts w:ascii="宋体" w:hAnsi="宋体"/>
                <w:color w:val="auto"/>
                <w:sz w:val="24"/>
                <w:highlight w:val="none"/>
              </w:rPr>
            </w:pPr>
          </w:p>
        </w:tc>
        <w:tc>
          <w:tcPr>
            <w:tcW w:w="3422" w:type="dxa"/>
            <w:vAlign w:val="center"/>
          </w:tcPr>
          <w:p>
            <w:pPr>
              <w:rPr>
                <w:rFonts w:ascii="宋体" w:hAnsi="宋体"/>
                <w:snapToGrid w:val="0"/>
                <w:color w:val="auto"/>
                <w:sz w:val="24"/>
                <w:highlight w:val="none"/>
              </w:rPr>
            </w:pPr>
          </w:p>
        </w:tc>
        <w:tc>
          <w:tcPr>
            <w:tcW w:w="3191" w:type="dxa"/>
            <w:vAlign w:val="center"/>
          </w:tcPr>
          <w:p>
            <w:pPr>
              <w:spacing w:line="400" w:lineRule="exact"/>
              <w:jc w:val="center"/>
              <w:rPr>
                <w:rFonts w:ascii="宋体" w:hAnsi="宋体"/>
                <w:color w:val="auto"/>
                <w:sz w:val="24"/>
                <w:highlight w:val="none"/>
              </w:rPr>
            </w:pPr>
          </w:p>
        </w:tc>
        <w:tc>
          <w:tcPr>
            <w:tcW w:w="1891" w:type="dxa"/>
            <w:vAlign w:val="center"/>
          </w:tcPr>
          <w:p>
            <w:pPr>
              <w:spacing w:line="400" w:lineRule="exact"/>
              <w:jc w:val="center"/>
              <w:rPr>
                <w:rFonts w:ascii="宋体" w:hAnsi="宋体"/>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3" w:type="dxa"/>
            <w:vAlign w:val="center"/>
          </w:tcPr>
          <w:p>
            <w:pPr>
              <w:numPr>
                <w:ilvl w:val="0"/>
                <w:numId w:val="118"/>
              </w:numPr>
              <w:spacing w:line="400" w:lineRule="exact"/>
              <w:jc w:val="center"/>
              <w:rPr>
                <w:rFonts w:ascii="宋体" w:hAnsi="宋体"/>
                <w:color w:val="auto"/>
                <w:sz w:val="24"/>
                <w:highlight w:val="none"/>
              </w:rPr>
            </w:pPr>
          </w:p>
        </w:tc>
        <w:tc>
          <w:tcPr>
            <w:tcW w:w="3422" w:type="dxa"/>
            <w:vAlign w:val="center"/>
          </w:tcPr>
          <w:p>
            <w:pPr>
              <w:rPr>
                <w:rFonts w:ascii="宋体" w:hAnsi="宋体"/>
                <w:snapToGrid w:val="0"/>
                <w:color w:val="auto"/>
                <w:sz w:val="24"/>
                <w:highlight w:val="none"/>
              </w:rPr>
            </w:pPr>
          </w:p>
        </w:tc>
        <w:tc>
          <w:tcPr>
            <w:tcW w:w="3191" w:type="dxa"/>
            <w:vAlign w:val="center"/>
          </w:tcPr>
          <w:p>
            <w:pPr>
              <w:spacing w:line="400" w:lineRule="exact"/>
              <w:jc w:val="center"/>
              <w:rPr>
                <w:rFonts w:ascii="宋体" w:hAnsi="宋体"/>
                <w:color w:val="auto"/>
                <w:sz w:val="24"/>
                <w:highlight w:val="none"/>
              </w:rPr>
            </w:pPr>
          </w:p>
        </w:tc>
        <w:tc>
          <w:tcPr>
            <w:tcW w:w="1891" w:type="dxa"/>
            <w:vAlign w:val="center"/>
          </w:tcPr>
          <w:p>
            <w:pPr>
              <w:spacing w:line="400" w:lineRule="exact"/>
              <w:jc w:val="center"/>
              <w:rPr>
                <w:rFonts w:ascii="宋体" w:hAnsi="宋体"/>
                <w:color w:val="auto"/>
                <w:sz w:val="24"/>
                <w:highlight w:val="none"/>
              </w:rPr>
            </w:pPr>
          </w:p>
        </w:tc>
      </w:tr>
    </w:tbl>
    <w:p>
      <w:pPr>
        <w:spacing w:line="500" w:lineRule="exact"/>
        <w:rPr>
          <w:color w:val="auto"/>
          <w:spacing w:val="4"/>
          <w:sz w:val="24"/>
          <w:highlight w:val="none"/>
        </w:rPr>
      </w:pPr>
    </w:p>
    <w:p>
      <w:pPr>
        <w:spacing w:line="500" w:lineRule="exact"/>
        <w:ind w:firstLine="124" w:firstLineChars="50"/>
        <w:rPr>
          <w:rFonts w:ascii="宋体" w:hAnsi="宋体"/>
          <w:color w:val="auto"/>
          <w:sz w:val="24"/>
          <w:highlight w:val="none"/>
          <w:u w:val="single"/>
        </w:rPr>
      </w:pPr>
      <w:r>
        <w:rPr>
          <w:rFonts w:hint="eastAsia"/>
          <w:color w:val="auto"/>
          <w:spacing w:val="4"/>
          <w:sz w:val="24"/>
          <w:highlight w:val="none"/>
        </w:rPr>
        <w:t>投标人名称（</w:t>
      </w:r>
      <w:r>
        <w:rPr>
          <w:rFonts w:hint="eastAsia" w:ascii="宋体" w:hAnsi="宋体"/>
          <w:color w:val="auto"/>
          <w:sz w:val="24"/>
          <w:highlight w:val="none"/>
        </w:rPr>
        <w:t>单位盖</w:t>
      </w:r>
      <w:r>
        <w:rPr>
          <w:rFonts w:hint="eastAsia"/>
          <w:color w:val="auto"/>
          <w:spacing w:val="4"/>
          <w:sz w:val="24"/>
          <w:highlight w:val="none"/>
        </w:rPr>
        <w:t>公章）：</w:t>
      </w:r>
    </w:p>
    <w:p>
      <w:pPr>
        <w:spacing w:line="440" w:lineRule="exact"/>
        <w:ind w:firstLine="124" w:firstLineChars="50"/>
        <w:rPr>
          <w:color w:val="auto"/>
          <w:spacing w:val="4"/>
          <w:sz w:val="24"/>
          <w:highlight w:val="none"/>
        </w:rPr>
      </w:pPr>
      <w:r>
        <w:rPr>
          <w:rFonts w:hint="eastAsia"/>
          <w:color w:val="auto"/>
          <w:spacing w:val="4"/>
          <w:sz w:val="24"/>
          <w:highlight w:val="none"/>
        </w:rPr>
        <w:t>日期：</w:t>
      </w:r>
    </w:p>
    <w:p>
      <w:pPr>
        <w:widowControl/>
        <w:jc w:val="left"/>
        <w:rPr>
          <w:color w:val="auto"/>
          <w:spacing w:val="4"/>
          <w:sz w:val="24"/>
          <w:highlight w:val="none"/>
        </w:rPr>
      </w:pPr>
      <w:r>
        <w:rPr>
          <w:color w:val="auto"/>
          <w:spacing w:val="4"/>
          <w:sz w:val="24"/>
          <w:highlight w:val="none"/>
        </w:rPr>
        <w:br w:type="page"/>
      </w:r>
    </w:p>
    <w:bookmarkEnd w:id="119"/>
    <w:p>
      <w:pPr>
        <w:tabs>
          <w:tab w:val="left" w:pos="142"/>
        </w:tabs>
        <w:autoSpaceDE w:val="0"/>
        <w:autoSpaceDN w:val="0"/>
        <w:spacing w:line="360" w:lineRule="auto"/>
        <w:ind w:left="-2" w:leftChars="-1" w:firstLine="2"/>
        <w:jc w:val="center"/>
        <w:outlineLvl w:val="3"/>
        <w:rPr>
          <w:rFonts w:ascii="黑体" w:hAnsi="黑体" w:eastAsia="黑体"/>
          <w:color w:val="auto"/>
          <w:sz w:val="32"/>
          <w:szCs w:val="32"/>
          <w:highlight w:val="none"/>
        </w:rPr>
      </w:pPr>
      <w:bookmarkStart w:id="130" w:name="_Toc394307583"/>
      <w:r>
        <w:rPr>
          <w:rFonts w:hint="eastAsia" w:ascii="黑体" w:hAnsi="黑体" w:eastAsia="黑体"/>
          <w:color w:val="auto"/>
          <w:sz w:val="32"/>
          <w:szCs w:val="32"/>
          <w:highlight w:val="none"/>
        </w:rPr>
        <w:t>售后服务情况表</w:t>
      </w:r>
      <w:bookmarkEnd w:id="130"/>
    </w:p>
    <w:p>
      <w:pPr>
        <w:widowControl/>
        <w:snapToGrid w:val="0"/>
        <w:spacing w:line="360" w:lineRule="auto"/>
        <w:jc w:val="left"/>
        <w:rPr>
          <w:rFonts w:ascii="宋体" w:hAnsi="宋体"/>
          <w:color w:val="auto"/>
          <w:sz w:val="24"/>
          <w:highlight w:val="none"/>
        </w:rPr>
      </w:pPr>
      <w:r>
        <w:rPr>
          <w:rFonts w:hint="eastAsia" w:ascii="宋体" w:hAnsi="宋体"/>
          <w:color w:val="auto"/>
          <w:sz w:val="24"/>
          <w:highlight w:val="none"/>
        </w:rPr>
        <w:t>项目名称：2020-2021年食品安全监督抽检项目</w:t>
      </w:r>
    </w:p>
    <w:p>
      <w:pPr>
        <w:widowControl/>
        <w:snapToGrid w:val="0"/>
        <w:spacing w:line="360" w:lineRule="auto"/>
        <w:jc w:val="left"/>
        <w:rPr>
          <w:rFonts w:ascii="宋体" w:hAnsi="宋体"/>
          <w:color w:val="auto"/>
          <w:sz w:val="24"/>
          <w:highlight w:val="none"/>
        </w:rPr>
      </w:pPr>
      <w:r>
        <w:rPr>
          <w:rFonts w:hint="eastAsia" w:ascii="宋体" w:hAnsi="宋体"/>
          <w:color w:val="auto"/>
          <w:sz w:val="24"/>
          <w:highlight w:val="none"/>
        </w:rPr>
        <w:t>包组号：</w:t>
      </w:r>
    </w:p>
    <w:tbl>
      <w:tblPr>
        <w:tblStyle w:val="16"/>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03"/>
        <w:gridCol w:w="2562"/>
        <w:gridCol w:w="4417"/>
        <w:gridCol w:w="149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8" w:hRule="atLeast"/>
          <w:jc w:val="center"/>
        </w:trPr>
        <w:tc>
          <w:tcPr>
            <w:tcW w:w="433" w:type="pct"/>
            <w:shd w:val="clear" w:color="auto" w:fill="E7E6E6" w:themeFill="background2"/>
            <w:vAlign w:val="center"/>
          </w:tcPr>
          <w:p>
            <w:pPr>
              <w:pStyle w:val="30"/>
              <w:spacing w:line="360" w:lineRule="auto"/>
              <w:jc w:val="center"/>
              <w:rPr>
                <w:rFonts w:ascii="宋体" w:hAnsi="宋体" w:cs="Arial"/>
                <w:b/>
                <w:color w:val="auto"/>
                <w:sz w:val="24"/>
                <w:highlight w:val="none"/>
              </w:rPr>
            </w:pPr>
            <w:r>
              <w:rPr>
                <w:rFonts w:hint="eastAsia" w:ascii="宋体" w:hAnsi="宋体" w:cs="Arial"/>
                <w:b/>
                <w:color w:val="auto"/>
                <w:sz w:val="24"/>
                <w:highlight w:val="none"/>
              </w:rPr>
              <w:t>序号</w:t>
            </w:r>
          </w:p>
        </w:tc>
        <w:tc>
          <w:tcPr>
            <w:tcW w:w="1381" w:type="pct"/>
            <w:shd w:val="clear" w:color="auto" w:fill="E7E6E6" w:themeFill="background2"/>
            <w:vAlign w:val="center"/>
          </w:tcPr>
          <w:p>
            <w:pPr>
              <w:pStyle w:val="30"/>
              <w:spacing w:line="360" w:lineRule="auto"/>
              <w:jc w:val="center"/>
              <w:rPr>
                <w:rFonts w:ascii="宋体" w:hAnsi="宋体" w:cs="Arial"/>
                <w:b/>
                <w:color w:val="auto"/>
                <w:sz w:val="24"/>
                <w:highlight w:val="none"/>
              </w:rPr>
            </w:pPr>
            <w:r>
              <w:rPr>
                <w:rFonts w:hint="eastAsia" w:ascii="宋体" w:hAnsi="宋体" w:cs="Arial"/>
                <w:b/>
                <w:color w:val="auto"/>
                <w:sz w:val="24"/>
                <w:highlight w:val="none"/>
              </w:rPr>
              <w:t>项目</w:t>
            </w:r>
          </w:p>
        </w:tc>
        <w:tc>
          <w:tcPr>
            <w:tcW w:w="2381" w:type="pct"/>
            <w:shd w:val="clear" w:color="auto" w:fill="E7E6E6" w:themeFill="background2"/>
            <w:vAlign w:val="center"/>
          </w:tcPr>
          <w:p>
            <w:pPr>
              <w:pStyle w:val="30"/>
              <w:spacing w:line="360" w:lineRule="auto"/>
              <w:jc w:val="center"/>
              <w:rPr>
                <w:rFonts w:ascii="宋体" w:hAnsi="宋体" w:cs="Arial"/>
                <w:b/>
                <w:color w:val="auto"/>
                <w:sz w:val="24"/>
                <w:highlight w:val="none"/>
              </w:rPr>
            </w:pPr>
            <w:r>
              <w:rPr>
                <w:rFonts w:hint="eastAsia" w:ascii="宋体" w:hAnsi="宋体" w:cs="Arial"/>
                <w:b/>
                <w:color w:val="auto"/>
                <w:sz w:val="24"/>
                <w:highlight w:val="none"/>
              </w:rPr>
              <w:t>投标人承诺</w:t>
            </w:r>
          </w:p>
        </w:tc>
        <w:tc>
          <w:tcPr>
            <w:tcW w:w="805" w:type="pct"/>
            <w:shd w:val="clear" w:color="auto" w:fill="E7E6E6" w:themeFill="background2"/>
            <w:vAlign w:val="center"/>
          </w:tcPr>
          <w:p>
            <w:pPr>
              <w:pStyle w:val="30"/>
              <w:spacing w:line="360" w:lineRule="auto"/>
              <w:jc w:val="center"/>
              <w:rPr>
                <w:rFonts w:ascii="宋体" w:hAnsi="宋体" w:cs="Arial"/>
                <w:b/>
                <w:color w:val="auto"/>
                <w:sz w:val="24"/>
                <w:highlight w:val="none"/>
              </w:rPr>
            </w:pPr>
            <w:r>
              <w:rPr>
                <w:rFonts w:hint="eastAsia" w:ascii="宋体" w:hAnsi="宋体" w:cs="Arial"/>
                <w:b/>
                <w:color w:val="auto"/>
                <w:sz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58" w:hRule="atLeast"/>
          <w:jc w:val="center"/>
        </w:trPr>
        <w:tc>
          <w:tcPr>
            <w:tcW w:w="433" w:type="pct"/>
            <w:vMerge w:val="restart"/>
            <w:vAlign w:val="center"/>
          </w:tcPr>
          <w:p>
            <w:pPr>
              <w:pStyle w:val="30"/>
              <w:spacing w:line="360" w:lineRule="auto"/>
              <w:jc w:val="center"/>
              <w:rPr>
                <w:rFonts w:ascii="宋体" w:hAnsi="宋体" w:cs="Arial"/>
                <w:bCs/>
                <w:color w:val="auto"/>
                <w:sz w:val="24"/>
                <w:highlight w:val="none"/>
              </w:rPr>
            </w:pPr>
            <w:r>
              <w:rPr>
                <w:rFonts w:hint="eastAsia" w:ascii="宋体" w:hAnsi="宋体" w:cs="Arial"/>
                <w:bCs/>
                <w:color w:val="auto"/>
                <w:sz w:val="24"/>
                <w:highlight w:val="none"/>
              </w:rPr>
              <w:t>1</w:t>
            </w:r>
          </w:p>
        </w:tc>
        <w:tc>
          <w:tcPr>
            <w:tcW w:w="1381" w:type="pct"/>
            <w:vMerge w:val="restart"/>
            <w:vAlign w:val="center"/>
          </w:tcPr>
          <w:p>
            <w:pPr>
              <w:pStyle w:val="30"/>
              <w:spacing w:line="360" w:lineRule="auto"/>
              <w:rPr>
                <w:rFonts w:ascii="宋体" w:hAnsi="宋体" w:cs="Arial"/>
                <w:bCs/>
                <w:color w:val="auto"/>
                <w:sz w:val="24"/>
                <w:highlight w:val="none"/>
              </w:rPr>
            </w:pPr>
            <w:r>
              <w:rPr>
                <w:rFonts w:hint="eastAsia" w:ascii="宋体" w:hAnsi="宋体" w:cs="Arial"/>
                <w:bCs/>
                <w:color w:val="auto"/>
                <w:sz w:val="24"/>
                <w:highlight w:val="none"/>
              </w:rPr>
              <w:t>保修期内售后服务情况(可用附页和宣传材料)</w:t>
            </w:r>
          </w:p>
        </w:tc>
        <w:tc>
          <w:tcPr>
            <w:tcW w:w="2381" w:type="pct"/>
          </w:tcPr>
          <w:p>
            <w:pPr>
              <w:pStyle w:val="30"/>
              <w:spacing w:line="360" w:lineRule="auto"/>
              <w:rPr>
                <w:rFonts w:ascii="宋体" w:hAnsi="宋体" w:cs="Arial"/>
                <w:bCs/>
                <w:color w:val="auto"/>
                <w:sz w:val="24"/>
                <w:highlight w:val="none"/>
              </w:rPr>
            </w:pPr>
            <w:r>
              <w:rPr>
                <w:rFonts w:hint="eastAsia" w:ascii="宋体" w:hAnsi="宋体" w:cs="Arial"/>
                <w:bCs/>
                <w:color w:val="auto"/>
                <w:sz w:val="24"/>
                <w:highlight w:val="none"/>
              </w:rPr>
              <w:t>生产厂商售后服务情况：</w:t>
            </w:r>
          </w:p>
        </w:tc>
        <w:tc>
          <w:tcPr>
            <w:tcW w:w="805" w:type="pct"/>
          </w:tcPr>
          <w:p>
            <w:pPr>
              <w:pStyle w:val="30"/>
              <w:spacing w:line="360" w:lineRule="auto"/>
              <w:rPr>
                <w:rFonts w:ascii="宋体" w:hAnsi="宋体" w:cs="Arial"/>
                <w:bCs/>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90" w:hRule="atLeast"/>
          <w:jc w:val="center"/>
        </w:trPr>
        <w:tc>
          <w:tcPr>
            <w:tcW w:w="0" w:type="auto"/>
            <w:vMerge w:val="continue"/>
            <w:vAlign w:val="center"/>
          </w:tcPr>
          <w:p>
            <w:pPr>
              <w:pStyle w:val="30"/>
              <w:widowControl/>
              <w:jc w:val="left"/>
              <w:rPr>
                <w:rFonts w:ascii="宋体" w:hAnsi="宋体" w:cs="Arial"/>
                <w:bCs/>
                <w:color w:val="auto"/>
                <w:sz w:val="24"/>
                <w:highlight w:val="none"/>
              </w:rPr>
            </w:pPr>
          </w:p>
        </w:tc>
        <w:tc>
          <w:tcPr>
            <w:tcW w:w="0" w:type="auto"/>
            <w:vMerge w:val="continue"/>
            <w:vAlign w:val="center"/>
          </w:tcPr>
          <w:p>
            <w:pPr>
              <w:pStyle w:val="30"/>
              <w:widowControl/>
              <w:jc w:val="left"/>
              <w:rPr>
                <w:rFonts w:ascii="宋体" w:hAnsi="宋体" w:cs="Arial"/>
                <w:bCs/>
                <w:color w:val="auto"/>
                <w:sz w:val="24"/>
                <w:highlight w:val="none"/>
              </w:rPr>
            </w:pPr>
          </w:p>
        </w:tc>
        <w:tc>
          <w:tcPr>
            <w:tcW w:w="2381" w:type="pct"/>
          </w:tcPr>
          <w:p>
            <w:pPr>
              <w:pStyle w:val="30"/>
              <w:spacing w:line="360" w:lineRule="auto"/>
              <w:rPr>
                <w:rFonts w:ascii="宋体" w:hAnsi="宋体" w:cs="Arial"/>
                <w:bCs/>
                <w:color w:val="auto"/>
                <w:sz w:val="24"/>
                <w:highlight w:val="none"/>
              </w:rPr>
            </w:pPr>
            <w:r>
              <w:rPr>
                <w:rFonts w:hint="eastAsia" w:ascii="宋体" w:hAnsi="宋体" w:cs="Arial"/>
                <w:bCs/>
                <w:color w:val="auto"/>
                <w:sz w:val="24"/>
                <w:highlight w:val="none"/>
              </w:rPr>
              <w:t>投标人售后服务情况：</w:t>
            </w:r>
          </w:p>
        </w:tc>
        <w:tc>
          <w:tcPr>
            <w:tcW w:w="805" w:type="pct"/>
          </w:tcPr>
          <w:p>
            <w:pPr>
              <w:pStyle w:val="30"/>
              <w:spacing w:line="360" w:lineRule="auto"/>
              <w:jc w:val="left"/>
              <w:rPr>
                <w:rFonts w:ascii="宋体" w:hAnsi="宋体" w:cs="Arial"/>
                <w:bCs/>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exact"/>
          <w:jc w:val="center"/>
        </w:trPr>
        <w:tc>
          <w:tcPr>
            <w:tcW w:w="433" w:type="pct"/>
            <w:vAlign w:val="center"/>
          </w:tcPr>
          <w:p>
            <w:pPr>
              <w:pStyle w:val="30"/>
              <w:spacing w:line="360" w:lineRule="auto"/>
              <w:jc w:val="center"/>
              <w:rPr>
                <w:rFonts w:ascii="宋体" w:hAnsi="宋体" w:cs="Arial"/>
                <w:bCs/>
                <w:color w:val="auto"/>
                <w:sz w:val="24"/>
                <w:highlight w:val="none"/>
              </w:rPr>
            </w:pPr>
            <w:r>
              <w:rPr>
                <w:rFonts w:hint="eastAsia" w:ascii="宋体" w:hAnsi="宋体" w:cs="Arial"/>
                <w:bCs/>
                <w:color w:val="auto"/>
                <w:sz w:val="24"/>
                <w:highlight w:val="none"/>
              </w:rPr>
              <w:t>2</w:t>
            </w:r>
          </w:p>
        </w:tc>
        <w:tc>
          <w:tcPr>
            <w:tcW w:w="1381" w:type="pct"/>
            <w:vAlign w:val="center"/>
          </w:tcPr>
          <w:p>
            <w:pPr>
              <w:pStyle w:val="30"/>
              <w:spacing w:line="360" w:lineRule="auto"/>
              <w:rPr>
                <w:rFonts w:ascii="宋体" w:hAnsi="宋体" w:cs="Arial"/>
                <w:bCs/>
                <w:color w:val="auto"/>
                <w:sz w:val="24"/>
                <w:highlight w:val="none"/>
              </w:rPr>
            </w:pPr>
            <w:r>
              <w:rPr>
                <w:rFonts w:hint="eastAsia" w:ascii="宋体" w:hAnsi="宋体" w:cs="Arial"/>
                <w:bCs/>
                <w:color w:val="auto"/>
                <w:sz w:val="24"/>
                <w:highlight w:val="none"/>
              </w:rPr>
              <w:t>保修期后售后服务</w:t>
            </w:r>
          </w:p>
        </w:tc>
        <w:tc>
          <w:tcPr>
            <w:tcW w:w="2381" w:type="pct"/>
          </w:tcPr>
          <w:p>
            <w:pPr>
              <w:pStyle w:val="30"/>
              <w:spacing w:line="360" w:lineRule="auto"/>
              <w:rPr>
                <w:rFonts w:ascii="宋体" w:hAnsi="宋体" w:cs="Arial"/>
                <w:bCs/>
                <w:color w:val="auto"/>
                <w:sz w:val="24"/>
                <w:highlight w:val="none"/>
              </w:rPr>
            </w:pPr>
          </w:p>
        </w:tc>
        <w:tc>
          <w:tcPr>
            <w:tcW w:w="805" w:type="pct"/>
          </w:tcPr>
          <w:p>
            <w:pPr>
              <w:pStyle w:val="30"/>
              <w:spacing w:line="360" w:lineRule="auto"/>
              <w:rPr>
                <w:rFonts w:ascii="宋体" w:hAnsi="宋体" w:cs="Arial"/>
                <w:bCs/>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59" w:hRule="exact"/>
          <w:jc w:val="center"/>
        </w:trPr>
        <w:tc>
          <w:tcPr>
            <w:tcW w:w="433" w:type="pct"/>
            <w:vAlign w:val="center"/>
          </w:tcPr>
          <w:p>
            <w:pPr>
              <w:pStyle w:val="30"/>
              <w:spacing w:line="360" w:lineRule="auto"/>
              <w:rPr>
                <w:rFonts w:ascii="宋体" w:hAnsi="宋体" w:cs="Arial"/>
                <w:bCs/>
                <w:color w:val="auto"/>
                <w:sz w:val="24"/>
                <w:highlight w:val="none"/>
              </w:rPr>
            </w:pPr>
            <w:r>
              <w:rPr>
                <w:rFonts w:hint="eastAsia" w:ascii="宋体" w:hAnsi="宋体" w:cs="Arial"/>
                <w:bCs/>
                <w:color w:val="auto"/>
                <w:sz w:val="24"/>
                <w:highlight w:val="none"/>
              </w:rPr>
              <w:t xml:space="preserve">  3</w:t>
            </w:r>
          </w:p>
        </w:tc>
        <w:tc>
          <w:tcPr>
            <w:tcW w:w="1381" w:type="pct"/>
            <w:vAlign w:val="center"/>
          </w:tcPr>
          <w:p>
            <w:pPr>
              <w:pStyle w:val="30"/>
              <w:spacing w:line="360" w:lineRule="auto"/>
              <w:rPr>
                <w:rFonts w:ascii="宋体" w:hAnsi="宋体" w:cs="Arial"/>
                <w:bCs/>
                <w:color w:val="auto"/>
                <w:sz w:val="24"/>
                <w:highlight w:val="none"/>
              </w:rPr>
            </w:pPr>
            <w:r>
              <w:rPr>
                <w:rFonts w:hint="eastAsia" w:ascii="宋体" w:hAnsi="宋体" w:cs="Arial"/>
                <w:bCs/>
                <w:color w:val="auto"/>
                <w:sz w:val="24"/>
                <w:highlight w:val="none"/>
              </w:rPr>
              <w:t>培训方案（可用附页）</w:t>
            </w:r>
          </w:p>
        </w:tc>
        <w:tc>
          <w:tcPr>
            <w:tcW w:w="2381" w:type="pct"/>
          </w:tcPr>
          <w:p>
            <w:pPr>
              <w:pStyle w:val="30"/>
              <w:spacing w:line="360" w:lineRule="auto"/>
              <w:rPr>
                <w:rFonts w:ascii="宋体" w:hAnsi="宋体" w:cs="Arial"/>
                <w:bCs/>
                <w:color w:val="auto"/>
                <w:sz w:val="24"/>
                <w:highlight w:val="none"/>
              </w:rPr>
            </w:pPr>
          </w:p>
        </w:tc>
        <w:tc>
          <w:tcPr>
            <w:tcW w:w="805" w:type="pct"/>
          </w:tcPr>
          <w:p>
            <w:pPr>
              <w:pStyle w:val="30"/>
              <w:spacing w:line="360" w:lineRule="auto"/>
              <w:rPr>
                <w:rFonts w:ascii="宋体" w:hAnsi="宋体" w:cs="Arial"/>
                <w:bCs/>
                <w:color w:val="auto"/>
                <w:sz w:val="24"/>
                <w:highlight w:val="none"/>
              </w:rPr>
            </w:pPr>
          </w:p>
        </w:tc>
      </w:tr>
    </w:tbl>
    <w:p>
      <w:pPr>
        <w:spacing w:line="500" w:lineRule="exact"/>
        <w:rPr>
          <w:rFonts w:ascii="宋体" w:hAnsi="宋体"/>
          <w:color w:val="auto"/>
          <w:sz w:val="24"/>
          <w:highlight w:val="none"/>
          <w:u w:val="single"/>
        </w:rPr>
      </w:pPr>
      <w:r>
        <w:rPr>
          <w:rFonts w:hint="eastAsia"/>
          <w:color w:val="auto"/>
          <w:spacing w:val="4"/>
          <w:sz w:val="24"/>
          <w:highlight w:val="none"/>
        </w:rPr>
        <w:t>投标人名称（</w:t>
      </w:r>
      <w:r>
        <w:rPr>
          <w:rFonts w:hint="eastAsia" w:ascii="宋体" w:hAnsi="宋体"/>
          <w:color w:val="auto"/>
          <w:sz w:val="24"/>
          <w:highlight w:val="none"/>
        </w:rPr>
        <w:t>单位盖</w:t>
      </w:r>
      <w:r>
        <w:rPr>
          <w:rFonts w:hint="eastAsia"/>
          <w:color w:val="auto"/>
          <w:spacing w:val="4"/>
          <w:sz w:val="24"/>
          <w:highlight w:val="none"/>
        </w:rPr>
        <w:t>公章）：</w:t>
      </w:r>
    </w:p>
    <w:p>
      <w:pPr>
        <w:spacing w:line="440" w:lineRule="exact"/>
        <w:rPr>
          <w:color w:val="auto"/>
          <w:spacing w:val="4"/>
          <w:sz w:val="24"/>
          <w:highlight w:val="none"/>
          <w:u w:val="single"/>
        </w:rPr>
      </w:pPr>
      <w:r>
        <w:rPr>
          <w:rFonts w:hint="eastAsia"/>
          <w:color w:val="auto"/>
          <w:spacing w:val="4"/>
          <w:sz w:val="24"/>
          <w:highlight w:val="none"/>
        </w:rPr>
        <w:t>日期：</w:t>
      </w:r>
    </w:p>
    <w:p>
      <w:pPr>
        <w:widowControl/>
        <w:jc w:val="left"/>
        <w:rPr>
          <w:rFonts w:ascii="黑体" w:hAnsi="黑体" w:eastAsia="黑体"/>
          <w:color w:val="auto"/>
          <w:sz w:val="32"/>
          <w:szCs w:val="32"/>
          <w:highlight w:val="none"/>
        </w:rPr>
      </w:pPr>
      <w:r>
        <w:rPr>
          <w:rFonts w:ascii="黑体" w:hAnsi="黑体" w:eastAsia="黑体"/>
          <w:color w:val="auto"/>
          <w:sz w:val="32"/>
          <w:szCs w:val="32"/>
          <w:highlight w:val="none"/>
        </w:rPr>
        <w:br w:type="page"/>
      </w:r>
    </w:p>
    <w:p>
      <w:pPr>
        <w:tabs>
          <w:tab w:val="left" w:pos="142"/>
        </w:tabs>
        <w:autoSpaceDE w:val="0"/>
        <w:autoSpaceDN w:val="0"/>
        <w:spacing w:line="360" w:lineRule="auto"/>
        <w:ind w:left="-2" w:leftChars="-1" w:firstLine="2"/>
        <w:jc w:val="center"/>
        <w:outlineLvl w:val="3"/>
        <w:rPr>
          <w:rFonts w:ascii="黑体" w:hAnsi="黑体" w:eastAsia="黑体"/>
          <w:color w:val="auto"/>
          <w:sz w:val="32"/>
          <w:szCs w:val="32"/>
          <w:highlight w:val="none"/>
        </w:rPr>
      </w:pPr>
      <w:r>
        <w:rPr>
          <w:rFonts w:hint="eastAsia" w:ascii="黑体" w:hAnsi="黑体" w:eastAsia="黑体"/>
          <w:color w:val="auto"/>
          <w:sz w:val="32"/>
          <w:szCs w:val="32"/>
          <w:highlight w:val="none"/>
        </w:rPr>
        <w:t>采购代理服务费承诺书</w:t>
      </w:r>
    </w:p>
    <w:p>
      <w:pPr>
        <w:snapToGrid w:val="0"/>
        <w:spacing w:line="360" w:lineRule="auto"/>
        <w:rPr>
          <w:rFonts w:ascii="宋体" w:hAnsi="宋体"/>
          <w:b/>
          <w:color w:val="auto"/>
          <w:sz w:val="24"/>
          <w:highlight w:val="none"/>
        </w:rPr>
      </w:pPr>
      <w:r>
        <w:rPr>
          <w:rFonts w:hint="eastAsia" w:ascii="宋体" w:hAnsi="宋体"/>
          <w:b/>
          <w:color w:val="auto"/>
          <w:sz w:val="24"/>
          <w:highlight w:val="none"/>
        </w:rPr>
        <w:t>广东采联采购科技有限公司:</w:t>
      </w:r>
    </w:p>
    <w:p>
      <w:pPr>
        <w:snapToGrid w:val="0"/>
        <w:spacing w:line="360" w:lineRule="auto"/>
        <w:ind w:firstLine="480" w:firstLineChars="200"/>
        <w:rPr>
          <w:rFonts w:ascii="宋体" w:cs="宋体"/>
          <w:color w:val="auto"/>
          <w:sz w:val="24"/>
          <w:highlight w:val="none"/>
        </w:rPr>
      </w:pPr>
      <w:r>
        <w:rPr>
          <w:rFonts w:hint="eastAsia" w:ascii="宋体" w:hAnsi="宋体"/>
          <w:color w:val="auto"/>
          <w:sz w:val="24"/>
          <w:highlight w:val="none"/>
        </w:rPr>
        <w:t>本公司</w:t>
      </w:r>
      <w:r>
        <w:rPr>
          <w:rFonts w:hint="eastAsia" w:ascii="宋体" w:hAnsi="宋体"/>
          <w:color w:val="auto"/>
          <w:sz w:val="24"/>
          <w:highlight w:val="none"/>
          <w:u w:val="single"/>
        </w:rPr>
        <w:t xml:space="preserve">       (投标人名称)      </w:t>
      </w:r>
      <w:r>
        <w:rPr>
          <w:rFonts w:hint="eastAsia" w:ascii="宋体" w:hAnsi="宋体"/>
          <w:color w:val="auto"/>
          <w:sz w:val="24"/>
          <w:highlight w:val="none"/>
        </w:rPr>
        <w:t>在参加</w:t>
      </w:r>
      <w:r>
        <w:rPr>
          <w:rFonts w:hint="eastAsia" w:ascii="宋体" w:hAnsi="宋体"/>
          <w:color w:val="auto"/>
          <w:sz w:val="24"/>
          <w:highlight w:val="none"/>
          <w:u w:val="single"/>
        </w:rPr>
        <w:t xml:space="preserve">   (项目名称)</w:t>
      </w:r>
      <w:r>
        <w:rPr>
          <w:rFonts w:hint="eastAsia" w:ascii="宋体" w:hAnsi="宋体"/>
          <w:color w:val="auto"/>
          <w:sz w:val="24"/>
          <w:highlight w:val="none"/>
          <w:u w:val="single"/>
          <w:lang w:eastAsia="zh-CN"/>
        </w:rPr>
        <w:t>（包组号）</w:t>
      </w:r>
      <w:r>
        <w:rPr>
          <w:rFonts w:hint="eastAsia" w:ascii="宋体" w:hAnsi="宋体"/>
          <w:color w:val="auto"/>
          <w:sz w:val="24"/>
          <w:highlight w:val="none"/>
        </w:rPr>
        <w:t>(</w:t>
      </w:r>
      <w:r>
        <w:rPr>
          <w:rFonts w:hint="eastAsia"/>
          <w:color w:val="auto"/>
          <w:sz w:val="24"/>
          <w:highlight w:val="none"/>
        </w:rPr>
        <w:t>项目编号：</w:t>
      </w:r>
      <w:r>
        <w:rPr>
          <w:rFonts w:hint="eastAsia" w:ascii="宋体" w:hAnsi="宋体"/>
          <w:color w:val="auto"/>
          <w:sz w:val="24"/>
          <w:highlight w:val="none"/>
        </w:rPr>
        <w:t>kp2020-00239（CLF0120JM00ZC33）)的招标中如获中标</w:t>
      </w:r>
      <w:r>
        <w:rPr>
          <w:rFonts w:hint="eastAsia" w:ascii="宋体" w:cs="宋体"/>
          <w:color w:val="auto"/>
          <w:sz w:val="24"/>
          <w:highlight w:val="none"/>
        </w:rPr>
        <w:t>，我公司保证按照招标文件</w:t>
      </w:r>
      <w:r>
        <w:rPr>
          <w:rFonts w:hint="eastAsia" w:ascii="宋体" w:hAnsi="宋体"/>
          <w:color w:val="auto"/>
          <w:sz w:val="24"/>
          <w:highlight w:val="none"/>
        </w:rPr>
        <w:t>的</w:t>
      </w:r>
      <w:r>
        <w:rPr>
          <w:rFonts w:hint="eastAsia" w:ascii="宋体" w:cs="宋体"/>
          <w:color w:val="auto"/>
          <w:sz w:val="24"/>
          <w:highlight w:val="none"/>
        </w:rPr>
        <w:t>规定缴纳“采购代理服务费”。如采用电汇或银行转账，我公司将同时递交采购代理服务费缴费凭证复印件。</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如我公司违反上款承诺,愿承担由此引起的一切法律责任。</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特此承诺!</w:t>
      </w:r>
      <w:r>
        <w:rPr>
          <w:rFonts w:ascii="宋体" w:hAnsi="宋体"/>
          <w:color w:val="auto"/>
          <w:sz w:val="24"/>
          <w:highlight w:val="none"/>
        </w:rPr>
        <w:tab/>
      </w:r>
    </w:p>
    <w:p>
      <w:pPr>
        <w:spacing w:line="360" w:lineRule="auto"/>
        <w:ind w:left="315"/>
        <w:jc w:val="left"/>
        <w:rPr>
          <w:rFonts w:ascii="宋体" w:hAnsi="宋体"/>
          <w:color w:val="auto"/>
          <w:sz w:val="24"/>
          <w:highlight w:val="none"/>
        </w:rPr>
      </w:pPr>
    </w:p>
    <w:p>
      <w:pPr>
        <w:spacing w:line="360" w:lineRule="auto"/>
        <w:ind w:left="315"/>
        <w:jc w:val="left"/>
        <w:rPr>
          <w:rFonts w:ascii="宋体" w:hAnsi="宋体"/>
          <w:color w:val="auto"/>
          <w:sz w:val="24"/>
          <w:highlight w:val="none"/>
        </w:rPr>
      </w:pPr>
      <w:r>
        <w:rPr>
          <w:rFonts w:hint="eastAsia" w:ascii="宋体" w:hAnsi="宋体"/>
          <w:color w:val="auto"/>
          <w:sz w:val="24"/>
          <w:highlight w:val="none"/>
        </w:rPr>
        <w:t>投标人名称(盖公章):</w:t>
      </w:r>
    </w:p>
    <w:p>
      <w:pPr>
        <w:spacing w:line="360" w:lineRule="auto"/>
        <w:ind w:left="315"/>
        <w:jc w:val="left"/>
        <w:rPr>
          <w:rFonts w:ascii="宋体" w:hAnsi="宋体"/>
          <w:color w:val="auto"/>
          <w:sz w:val="24"/>
          <w:highlight w:val="none"/>
        </w:rPr>
      </w:pPr>
      <w:r>
        <w:rPr>
          <w:rFonts w:hint="eastAsia" w:ascii="宋体" w:hAnsi="宋体"/>
          <w:color w:val="auto"/>
          <w:sz w:val="24"/>
          <w:highlight w:val="none"/>
        </w:rPr>
        <w:t xml:space="preserve">日期： </w:t>
      </w:r>
    </w:p>
    <w:p>
      <w:pPr>
        <w:spacing w:line="360" w:lineRule="auto"/>
        <w:ind w:left="315"/>
        <w:jc w:val="left"/>
        <w:rPr>
          <w:rFonts w:ascii="宋体" w:hAnsi="宋体"/>
          <w:strike/>
          <w:color w:val="auto"/>
          <w:sz w:val="24"/>
          <w:highlight w:val="none"/>
        </w:rPr>
      </w:pPr>
    </w:p>
    <w:p>
      <w:pPr>
        <w:widowControl/>
        <w:jc w:val="left"/>
        <w:rPr>
          <w:rFonts w:ascii="Arial" w:hAnsi="Arial" w:eastAsia="黑体"/>
          <w:bCs/>
          <w:color w:val="auto"/>
          <w:sz w:val="32"/>
          <w:szCs w:val="32"/>
          <w:highlight w:val="none"/>
        </w:rPr>
      </w:pPr>
      <w:bookmarkStart w:id="131" w:name="_Toc275865626"/>
      <w:bookmarkStart w:id="132" w:name="_Toc173553195"/>
      <w:bookmarkStart w:id="133" w:name="_Toc435515318"/>
      <w:bookmarkStart w:id="134" w:name="_Toc435514878"/>
      <w:r>
        <w:rPr>
          <w:b/>
          <w:color w:val="auto"/>
          <w:highlight w:val="none"/>
        </w:rPr>
        <w:br w:type="page"/>
      </w:r>
    </w:p>
    <w:p>
      <w:pPr>
        <w:tabs>
          <w:tab w:val="left" w:pos="142"/>
        </w:tabs>
        <w:autoSpaceDE w:val="0"/>
        <w:autoSpaceDN w:val="0"/>
        <w:spacing w:line="360" w:lineRule="auto"/>
        <w:ind w:left="-2" w:leftChars="-1" w:firstLine="2"/>
        <w:jc w:val="center"/>
        <w:outlineLvl w:val="3"/>
        <w:rPr>
          <w:rFonts w:ascii="黑体" w:hAnsi="黑体" w:eastAsia="黑体"/>
          <w:color w:val="auto"/>
          <w:sz w:val="32"/>
          <w:szCs w:val="32"/>
          <w:highlight w:val="none"/>
        </w:rPr>
      </w:pPr>
      <w:r>
        <w:rPr>
          <w:rFonts w:hint="eastAsia" w:ascii="黑体" w:hAnsi="黑体" w:eastAsia="黑体"/>
          <w:color w:val="auto"/>
          <w:sz w:val="32"/>
          <w:szCs w:val="32"/>
          <w:highlight w:val="none"/>
        </w:rPr>
        <w:t>开票资料说明函</w:t>
      </w:r>
    </w:p>
    <w:p>
      <w:pPr>
        <w:snapToGrid w:val="0"/>
        <w:spacing w:line="360" w:lineRule="auto"/>
        <w:rPr>
          <w:rFonts w:ascii="宋体" w:hAnsi="宋体"/>
          <w:b/>
          <w:color w:val="auto"/>
          <w:sz w:val="24"/>
          <w:highlight w:val="none"/>
        </w:rPr>
      </w:pPr>
      <w:r>
        <w:rPr>
          <w:rFonts w:hint="eastAsia" w:ascii="宋体" w:hAnsi="宋体"/>
          <w:b/>
          <w:color w:val="auto"/>
          <w:sz w:val="24"/>
          <w:highlight w:val="none"/>
        </w:rPr>
        <w:t>广东采联采购科技有限公司:</w:t>
      </w:r>
    </w:p>
    <w:p>
      <w:pPr>
        <w:snapToGrid w:val="0"/>
        <w:spacing w:line="360" w:lineRule="auto"/>
        <w:ind w:firstLine="480" w:firstLineChars="200"/>
        <w:rPr>
          <w:rFonts w:ascii="宋体" w:cs="宋体"/>
          <w:color w:val="auto"/>
          <w:sz w:val="24"/>
          <w:highlight w:val="none"/>
        </w:rPr>
      </w:pPr>
      <w:r>
        <w:rPr>
          <w:rFonts w:hint="eastAsia" w:ascii="宋体" w:hAnsi="宋体"/>
          <w:color w:val="auto"/>
          <w:sz w:val="24"/>
          <w:highlight w:val="none"/>
        </w:rPr>
        <w:t>本公司</w:t>
      </w:r>
      <w:r>
        <w:rPr>
          <w:rFonts w:hint="eastAsia" w:ascii="宋体" w:hAnsi="宋体"/>
          <w:color w:val="auto"/>
          <w:sz w:val="24"/>
          <w:highlight w:val="none"/>
          <w:u w:val="single"/>
        </w:rPr>
        <w:t xml:space="preserve">       (供应商名称)      </w:t>
      </w:r>
      <w:r>
        <w:rPr>
          <w:rFonts w:hint="eastAsia" w:ascii="宋体" w:hAnsi="宋体"/>
          <w:color w:val="auto"/>
          <w:sz w:val="24"/>
          <w:highlight w:val="none"/>
        </w:rPr>
        <w:t>在参加在贵公司举行的</w:t>
      </w:r>
      <w:r>
        <w:rPr>
          <w:rFonts w:hint="eastAsia" w:ascii="宋体" w:hAnsi="宋体"/>
          <w:color w:val="auto"/>
          <w:sz w:val="24"/>
          <w:highlight w:val="none"/>
          <w:u w:val="single"/>
        </w:rPr>
        <w:t xml:space="preserve"> (项目名称)</w:t>
      </w:r>
      <w:r>
        <w:rPr>
          <w:rFonts w:hint="eastAsia" w:ascii="宋体" w:hAnsi="宋体"/>
          <w:color w:val="auto"/>
          <w:sz w:val="24"/>
          <w:highlight w:val="none"/>
          <w:u w:val="single"/>
          <w:lang w:eastAsia="zh-CN"/>
        </w:rPr>
        <w:t>（包组号）</w:t>
      </w:r>
      <w:r>
        <w:rPr>
          <w:rFonts w:hint="eastAsia" w:ascii="宋体" w:hAnsi="宋体"/>
          <w:color w:val="auto"/>
          <w:sz w:val="24"/>
          <w:highlight w:val="none"/>
        </w:rPr>
        <w:t>(</w:t>
      </w:r>
      <w:r>
        <w:rPr>
          <w:rFonts w:hint="eastAsia"/>
          <w:color w:val="auto"/>
          <w:sz w:val="24"/>
          <w:highlight w:val="none"/>
        </w:rPr>
        <w:t>项目编号：</w:t>
      </w:r>
      <w:r>
        <w:rPr>
          <w:rFonts w:hint="eastAsia" w:ascii="宋体" w:hAnsi="宋体"/>
          <w:color w:val="auto"/>
          <w:sz w:val="24"/>
          <w:highlight w:val="none"/>
        </w:rPr>
        <w:t>kp2020-00239（CLF0120JM00ZC33）)的招标中如获中标</w:t>
      </w:r>
      <w:r>
        <w:rPr>
          <w:rFonts w:hint="eastAsia" w:ascii="宋体" w:cs="宋体"/>
          <w:color w:val="auto"/>
          <w:sz w:val="24"/>
          <w:highlight w:val="none"/>
        </w:rPr>
        <w:t>，则开票类型选择</w:t>
      </w:r>
      <w:r>
        <w:rPr>
          <w:rFonts w:hint="eastAsia" w:ascii="宋体" w:hAnsi="宋体"/>
          <w:b/>
          <w:color w:val="auto"/>
          <w:sz w:val="24"/>
          <w:highlight w:val="none"/>
          <w:u w:val="single"/>
        </w:rPr>
        <w:t>□增值税普通发票□增值税专用发票</w:t>
      </w:r>
      <w:r>
        <w:rPr>
          <w:rFonts w:hint="eastAsia" w:ascii="宋体" w:hAnsi="宋体"/>
          <w:color w:val="auto"/>
          <w:sz w:val="24"/>
          <w:highlight w:val="none"/>
        </w:rPr>
        <w:t>（</w:t>
      </w:r>
      <w:r>
        <w:rPr>
          <w:rFonts w:hint="eastAsia" w:ascii="宋体" w:hAnsi="宋体"/>
          <w:b/>
          <w:color w:val="auto"/>
          <w:sz w:val="24"/>
          <w:highlight w:val="none"/>
        </w:rPr>
        <w:t>请在对应的“□”打“√”，且只能选择其中一项）</w:t>
      </w:r>
      <w:r>
        <w:rPr>
          <w:rFonts w:hint="eastAsia" w:ascii="宋体" w:cs="宋体"/>
          <w:color w:val="auto"/>
          <w:sz w:val="24"/>
          <w:highlight w:val="none"/>
        </w:rPr>
        <w:t>，以及我司的开票资料如下：</w:t>
      </w: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471"/>
        <w:gridCol w:w="3763"/>
        <w:gridCol w:w="1179"/>
        <w:gridCol w:w="16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2471" w:type="dxa"/>
            <w:vAlign w:val="center"/>
          </w:tcPr>
          <w:p>
            <w:pPr>
              <w:jc w:val="center"/>
              <w:rPr>
                <w:rFonts w:ascii="宋体"/>
                <w:color w:val="auto"/>
                <w:sz w:val="24"/>
                <w:highlight w:val="none"/>
              </w:rPr>
            </w:pPr>
            <w:r>
              <w:rPr>
                <w:rFonts w:hint="eastAsia" w:ascii="宋体"/>
                <w:color w:val="auto"/>
                <w:sz w:val="24"/>
                <w:highlight w:val="none"/>
              </w:rPr>
              <w:t>单位名称</w:t>
            </w:r>
          </w:p>
        </w:tc>
        <w:tc>
          <w:tcPr>
            <w:tcW w:w="6607" w:type="dxa"/>
            <w:gridSpan w:val="3"/>
            <w:vAlign w:val="center"/>
          </w:tcPr>
          <w:p>
            <w:pPr>
              <w:jc w:val="center"/>
              <w:rPr>
                <w:rFonts w:ascii="宋体"/>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2471" w:type="dxa"/>
            <w:vAlign w:val="center"/>
          </w:tcPr>
          <w:p>
            <w:pPr>
              <w:jc w:val="center"/>
              <w:rPr>
                <w:rFonts w:ascii="宋体"/>
                <w:color w:val="auto"/>
                <w:sz w:val="24"/>
                <w:highlight w:val="none"/>
              </w:rPr>
            </w:pPr>
            <w:r>
              <w:rPr>
                <w:rFonts w:hint="eastAsia" w:ascii="宋体" w:hAnsi="宋体"/>
                <w:color w:val="auto"/>
                <w:sz w:val="24"/>
                <w:highlight w:val="none"/>
              </w:rPr>
              <w:t>纳税人识别号</w:t>
            </w:r>
          </w:p>
        </w:tc>
        <w:tc>
          <w:tcPr>
            <w:tcW w:w="6607" w:type="dxa"/>
            <w:gridSpan w:val="3"/>
            <w:vAlign w:val="center"/>
          </w:tcPr>
          <w:p>
            <w:pPr>
              <w:jc w:val="center"/>
              <w:rPr>
                <w:rFonts w:ascii="宋体"/>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2471" w:type="dxa"/>
            <w:vAlign w:val="center"/>
          </w:tcPr>
          <w:p>
            <w:pPr>
              <w:jc w:val="center"/>
              <w:rPr>
                <w:rFonts w:ascii="宋体"/>
                <w:color w:val="auto"/>
                <w:sz w:val="24"/>
                <w:highlight w:val="none"/>
              </w:rPr>
            </w:pPr>
            <w:r>
              <w:rPr>
                <w:rFonts w:hint="eastAsia" w:ascii="宋体"/>
                <w:color w:val="auto"/>
                <w:sz w:val="24"/>
                <w:highlight w:val="none"/>
              </w:rPr>
              <w:t>地址</w:t>
            </w:r>
          </w:p>
        </w:tc>
        <w:tc>
          <w:tcPr>
            <w:tcW w:w="6607" w:type="dxa"/>
            <w:gridSpan w:val="3"/>
            <w:vAlign w:val="center"/>
          </w:tcPr>
          <w:p>
            <w:pPr>
              <w:jc w:val="center"/>
              <w:rPr>
                <w:rFonts w:ascii="宋体"/>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2471" w:type="dxa"/>
            <w:vAlign w:val="center"/>
          </w:tcPr>
          <w:p>
            <w:pPr>
              <w:jc w:val="center"/>
              <w:rPr>
                <w:rFonts w:ascii="宋体"/>
                <w:color w:val="auto"/>
                <w:sz w:val="24"/>
                <w:highlight w:val="none"/>
              </w:rPr>
            </w:pPr>
            <w:r>
              <w:rPr>
                <w:rFonts w:hint="eastAsia" w:ascii="宋体"/>
                <w:color w:val="auto"/>
                <w:sz w:val="24"/>
                <w:highlight w:val="none"/>
              </w:rPr>
              <w:t>开户银行</w:t>
            </w:r>
            <w:r>
              <w:rPr>
                <w:rFonts w:ascii="宋体"/>
                <w:color w:val="auto"/>
                <w:sz w:val="24"/>
                <w:highlight w:val="none"/>
              </w:rPr>
              <w:br w:type="textWrapping"/>
            </w:r>
            <w:r>
              <w:rPr>
                <w:rFonts w:hint="eastAsia" w:ascii="宋体" w:hAnsi="宋体"/>
                <w:color w:val="auto"/>
                <w:sz w:val="24"/>
                <w:highlight w:val="none"/>
              </w:rPr>
              <w:t>（具体到XX银行XX支行）</w:t>
            </w:r>
          </w:p>
        </w:tc>
        <w:tc>
          <w:tcPr>
            <w:tcW w:w="3763" w:type="dxa"/>
            <w:vAlign w:val="center"/>
          </w:tcPr>
          <w:p>
            <w:pPr>
              <w:jc w:val="center"/>
              <w:rPr>
                <w:rFonts w:ascii="宋体"/>
                <w:color w:val="auto"/>
                <w:sz w:val="24"/>
                <w:highlight w:val="none"/>
              </w:rPr>
            </w:pPr>
          </w:p>
        </w:tc>
        <w:tc>
          <w:tcPr>
            <w:tcW w:w="1179" w:type="dxa"/>
            <w:vAlign w:val="center"/>
          </w:tcPr>
          <w:p>
            <w:pPr>
              <w:jc w:val="center"/>
              <w:rPr>
                <w:rFonts w:ascii="宋体"/>
                <w:color w:val="auto"/>
                <w:sz w:val="24"/>
                <w:highlight w:val="none"/>
              </w:rPr>
            </w:pPr>
            <w:r>
              <w:rPr>
                <w:rFonts w:hint="eastAsia" w:ascii="宋体"/>
                <w:color w:val="auto"/>
                <w:sz w:val="24"/>
                <w:highlight w:val="none"/>
              </w:rPr>
              <w:t>联系电话</w:t>
            </w:r>
          </w:p>
        </w:tc>
        <w:tc>
          <w:tcPr>
            <w:tcW w:w="1665" w:type="dxa"/>
            <w:vAlign w:val="center"/>
          </w:tcPr>
          <w:p>
            <w:pPr>
              <w:jc w:val="center"/>
              <w:rPr>
                <w:rFonts w:ascii="宋体"/>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2471" w:type="dxa"/>
            <w:vAlign w:val="center"/>
          </w:tcPr>
          <w:p>
            <w:pPr>
              <w:jc w:val="center"/>
              <w:rPr>
                <w:rFonts w:ascii="宋体"/>
                <w:color w:val="auto"/>
                <w:sz w:val="24"/>
                <w:highlight w:val="none"/>
              </w:rPr>
            </w:pPr>
            <w:r>
              <w:rPr>
                <w:rFonts w:hint="eastAsia" w:ascii="宋体"/>
                <w:color w:val="auto"/>
                <w:sz w:val="24"/>
                <w:highlight w:val="none"/>
              </w:rPr>
              <w:t>账    号</w:t>
            </w:r>
          </w:p>
        </w:tc>
        <w:tc>
          <w:tcPr>
            <w:tcW w:w="3763" w:type="dxa"/>
            <w:vAlign w:val="center"/>
          </w:tcPr>
          <w:p>
            <w:pPr>
              <w:jc w:val="center"/>
              <w:rPr>
                <w:rFonts w:ascii="宋体"/>
                <w:color w:val="auto"/>
                <w:sz w:val="24"/>
                <w:highlight w:val="none"/>
              </w:rPr>
            </w:pPr>
          </w:p>
        </w:tc>
        <w:tc>
          <w:tcPr>
            <w:tcW w:w="1179" w:type="dxa"/>
            <w:vAlign w:val="center"/>
          </w:tcPr>
          <w:p>
            <w:pPr>
              <w:jc w:val="center"/>
              <w:rPr>
                <w:rFonts w:ascii="宋体"/>
                <w:color w:val="auto"/>
                <w:sz w:val="24"/>
                <w:highlight w:val="none"/>
              </w:rPr>
            </w:pPr>
            <w:r>
              <w:rPr>
                <w:rFonts w:hint="eastAsia" w:ascii="宋体"/>
                <w:color w:val="auto"/>
                <w:sz w:val="24"/>
                <w:highlight w:val="none"/>
              </w:rPr>
              <w:t>联系人</w:t>
            </w:r>
          </w:p>
        </w:tc>
        <w:tc>
          <w:tcPr>
            <w:tcW w:w="1665" w:type="dxa"/>
            <w:vAlign w:val="center"/>
          </w:tcPr>
          <w:p>
            <w:pPr>
              <w:jc w:val="center"/>
              <w:rPr>
                <w:rFonts w:ascii="宋体"/>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9078" w:type="dxa"/>
            <w:gridSpan w:val="4"/>
            <w:vAlign w:val="center"/>
          </w:tcPr>
          <w:p>
            <w:pPr>
              <w:rPr>
                <w:rFonts w:ascii="宋体"/>
                <w:b/>
                <w:color w:val="auto"/>
                <w:sz w:val="24"/>
                <w:highlight w:val="none"/>
              </w:rPr>
            </w:pPr>
            <w:r>
              <w:rPr>
                <w:rFonts w:hint="eastAsia" w:ascii="宋体"/>
                <w:b/>
                <w:color w:val="auto"/>
                <w:sz w:val="24"/>
                <w:highlight w:val="none"/>
              </w:rPr>
              <w:t>附件：</w:t>
            </w:r>
            <w:r>
              <w:rPr>
                <w:rFonts w:hint="eastAsia" w:ascii="宋体" w:hAnsi="宋体"/>
                <w:b/>
                <w:color w:val="auto"/>
                <w:sz w:val="24"/>
                <w:highlight w:val="none"/>
              </w:rPr>
              <w:t>一般纳税人资格认定税务通知书或其他可证明具有该项资格证明文件的复印件。（加盖公章）</w:t>
            </w:r>
          </w:p>
        </w:tc>
      </w:tr>
    </w:tbl>
    <w:p>
      <w:pPr>
        <w:spacing w:line="360" w:lineRule="auto"/>
        <w:ind w:firstLine="480" w:firstLineChars="200"/>
        <w:rPr>
          <w:rFonts w:ascii="宋体"/>
          <w:color w:val="auto"/>
          <w:sz w:val="24"/>
          <w:highlight w:val="none"/>
        </w:rPr>
      </w:pPr>
      <w:r>
        <w:rPr>
          <w:rFonts w:hint="eastAsia" w:ascii="宋体"/>
          <w:color w:val="auto"/>
          <w:sz w:val="24"/>
          <w:highlight w:val="none"/>
        </w:rPr>
        <w:t>投标截止日，如我公司未按该要求填写、未提供有效的开票资料、未确认开具发票类型或确认的发票类型有误，则视为开具增值税普通发票。同意广东采联采购科技有限公司不予更换发票类型。并愿承担由此引起的一切后果。</w:t>
      </w:r>
    </w:p>
    <w:p>
      <w:pPr>
        <w:spacing w:line="360" w:lineRule="auto"/>
        <w:ind w:firstLine="480" w:firstLineChars="200"/>
        <w:rPr>
          <w:rFonts w:ascii="宋体"/>
          <w:color w:val="auto"/>
          <w:sz w:val="24"/>
          <w:highlight w:val="none"/>
        </w:rPr>
      </w:pPr>
    </w:p>
    <w:p>
      <w:pPr>
        <w:snapToGrid w:val="0"/>
        <w:spacing w:line="520" w:lineRule="exact"/>
        <w:ind w:left="780" w:right="480"/>
        <w:jc w:val="center"/>
        <w:rPr>
          <w:rFonts w:ascii="宋体"/>
          <w:color w:val="auto"/>
          <w:sz w:val="24"/>
          <w:highlight w:val="none"/>
        </w:rPr>
      </w:pPr>
      <w:r>
        <w:rPr>
          <w:rFonts w:hint="eastAsia"/>
          <w:color w:val="auto"/>
          <w:sz w:val="24"/>
          <w:highlight w:val="none"/>
        </w:rPr>
        <w:t>投标人名称</w:t>
      </w:r>
      <w:r>
        <w:rPr>
          <w:rFonts w:hint="eastAsia" w:ascii="宋体"/>
          <w:color w:val="auto"/>
          <w:sz w:val="24"/>
          <w:highlight w:val="none"/>
        </w:rPr>
        <w:t>（</w:t>
      </w:r>
      <w:r>
        <w:rPr>
          <w:rFonts w:hint="eastAsia" w:ascii="宋体" w:hAnsi="宋体"/>
          <w:color w:val="auto"/>
          <w:sz w:val="24"/>
          <w:highlight w:val="none"/>
        </w:rPr>
        <w:t>单位盖</w:t>
      </w:r>
      <w:r>
        <w:rPr>
          <w:rFonts w:hint="eastAsia"/>
          <w:color w:val="auto"/>
          <w:spacing w:val="4"/>
          <w:sz w:val="24"/>
          <w:highlight w:val="none"/>
        </w:rPr>
        <w:t>公章</w:t>
      </w:r>
      <w:r>
        <w:rPr>
          <w:rFonts w:hint="eastAsia" w:ascii="宋体"/>
          <w:color w:val="auto"/>
          <w:sz w:val="24"/>
          <w:highlight w:val="none"/>
        </w:rPr>
        <w:t>）：</w:t>
      </w:r>
    </w:p>
    <w:p>
      <w:pPr>
        <w:snapToGrid w:val="0"/>
        <w:spacing w:line="520" w:lineRule="exact"/>
        <w:ind w:firstLine="4800" w:firstLineChars="2000"/>
        <w:rPr>
          <w:rFonts w:ascii="宋体"/>
          <w:color w:val="auto"/>
          <w:sz w:val="24"/>
          <w:highlight w:val="none"/>
        </w:rPr>
      </w:pPr>
      <w:r>
        <w:rPr>
          <w:rFonts w:hint="eastAsia" w:ascii="宋体"/>
          <w:color w:val="auto"/>
          <w:sz w:val="24"/>
          <w:highlight w:val="none"/>
        </w:rPr>
        <w:t>投标人地址：</w:t>
      </w:r>
    </w:p>
    <w:p>
      <w:pPr>
        <w:snapToGrid w:val="0"/>
        <w:spacing w:line="520" w:lineRule="exact"/>
        <w:ind w:left="780" w:firstLine="5911" w:firstLineChars="2463"/>
        <w:rPr>
          <w:rFonts w:ascii="宋体"/>
          <w:color w:val="auto"/>
          <w:sz w:val="24"/>
          <w:highlight w:val="none"/>
        </w:rPr>
      </w:pPr>
    </w:p>
    <w:bookmarkEnd w:id="131"/>
    <w:bookmarkEnd w:id="132"/>
    <w:bookmarkEnd w:id="133"/>
    <w:bookmarkEnd w:id="134"/>
    <w:p>
      <w:pPr>
        <w:snapToGrid w:val="0"/>
        <w:spacing w:line="520" w:lineRule="exact"/>
        <w:rPr>
          <w:rFonts w:ascii="宋体"/>
          <w:color w:val="auto"/>
          <w:sz w:val="24"/>
          <w:highlight w:val="none"/>
        </w:rPr>
      </w:pPr>
    </w:p>
    <w:sectPr>
      <w:headerReference r:id="rId11" w:type="default"/>
      <w:pgSz w:w="11906" w:h="16838"/>
      <w:pgMar w:top="1440" w:right="1286" w:bottom="1440" w:left="156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20"/>
      </w:rPr>
    </w:pPr>
    <w:r>
      <w:fldChar w:fldCharType="begin"/>
    </w:r>
    <w:r>
      <w:rPr>
        <w:rStyle w:val="20"/>
      </w:rPr>
      <w:instrText xml:space="preserve">PAGE  </w:instrText>
    </w:r>
    <w:r>
      <w:fldChar w:fldCharType="separate"/>
    </w:r>
    <w:r>
      <w:rPr>
        <w:rStyle w:val="20"/>
      </w:rPr>
      <w:t>2</w:t>
    </w:r>
    <w:r>
      <w:fldChar w:fldCharType="end"/>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rFonts w:hint="eastAsia"/>
      </w:rPr>
      <w:t xml:space="preserve">http://www.chinapsp.cn/                              </w:t>
    </w:r>
    <w:r>
      <w:fldChar w:fldCharType="begin"/>
    </w:r>
    <w:r>
      <w:rPr>
        <w:rStyle w:val="20"/>
      </w:rPr>
      <w:instrText xml:space="preserve"> PAGE </w:instrText>
    </w:r>
    <w:r>
      <w:fldChar w:fldCharType="separate"/>
    </w:r>
    <w:r>
      <w:rPr>
        <w:rStyle w:val="20"/>
      </w:rPr>
      <w:t>2</w:t>
    </w:r>
    <w:r>
      <w:fldChar w:fldCharType="end"/>
    </w:r>
    <w:r>
      <w:rPr>
        <w:rFonts w:hint="eastAsia"/>
        <w:color w:val="000000" w:themeColor="text1"/>
        <w14:textFill>
          <w14:solidFill>
            <w14:schemeClr w14:val="tx1"/>
          </w14:solidFill>
        </w14:textFill>
      </w:rPr>
      <w:t>广东采联采购科技有限公司</w:t>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rFonts w:hint="eastAsia"/>
      </w:rPr>
      <w:t>http://www.chinapsp.cn/                   第</w:t>
    </w:r>
    <w:r>
      <w:fldChar w:fldCharType="begin"/>
    </w:r>
    <w:r>
      <w:rPr>
        <w:rStyle w:val="20"/>
      </w:rPr>
      <w:instrText xml:space="preserve"> PAGE </w:instrText>
    </w:r>
    <w:r>
      <w:fldChar w:fldCharType="separate"/>
    </w:r>
    <w:r>
      <w:rPr>
        <w:rStyle w:val="20"/>
      </w:rPr>
      <w:t>3</w:t>
    </w:r>
    <w:r>
      <w:fldChar w:fldCharType="end"/>
    </w:r>
    <w:r>
      <w:rPr>
        <w:rStyle w:val="20"/>
        <w:rFonts w:hint="eastAsia"/>
      </w:rPr>
      <w:t>页，共</w:t>
    </w:r>
    <w:r>
      <w:fldChar w:fldCharType="begin"/>
    </w:r>
    <w:r>
      <w:rPr>
        <w:rStyle w:val="20"/>
      </w:rPr>
      <w:instrText xml:space="preserve"> NUMPAGES </w:instrText>
    </w:r>
    <w:r>
      <w:fldChar w:fldCharType="separate"/>
    </w:r>
    <w:r>
      <w:rPr>
        <w:rStyle w:val="20"/>
      </w:rPr>
      <w:t>86</w:t>
    </w:r>
    <w:r>
      <w:fldChar w:fldCharType="end"/>
    </w:r>
    <w:r>
      <w:rPr>
        <w:rStyle w:val="20"/>
        <w:rFonts w:hint="eastAsia"/>
      </w:rPr>
      <w:t xml:space="preserve">页                    </w:t>
    </w:r>
    <w:r>
      <w:rPr>
        <w:rFonts w:hint="eastAsia"/>
        <w:color w:val="000000" w:themeColor="text1"/>
        <w14:textFill>
          <w14:solidFill>
            <w14:schemeClr w14:val="tx1"/>
          </w14:solidFill>
        </w14:textFill>
      </w:rPr>
      <w:t>广东采联采购科技有限公司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rFonts w:hint="eastAsia"/>
      </w:rPr>
      <w:t>http://www.chinapsp.cn/                  第</w:t>
    </w:r>
    <w:r>
      <w:fldChar w:fldCharType="begin"/>
    </w:r>
    <w:r>
      <w:rPr>
        <w:rStyle w:val="20"/>
      </w:rPr>
      <w:instrText xml:space="preserve"> PAGE </w:instrText>
    </w:r>
    <w:r>
      <w:fldChar w:fldCharType="separate"/>
    </w:r>
    <w:r>
      <w:rPr>
        <w:rStyle w:val="20"/>
      </w:rPr>
      <w:t>2</w:t>
    </w:r>
    <w:r>
      <w:fldChar w:fldCharType="end"/>
    </w:r>
    <w:r>
      <w:rPr>
        <w:rStyle w:val="20"/>
        <w:rFonts w:hint="eastAsia"/>
      </w:rPr>
      <w:t>页，共</w:t>
    </w:r>
    <w:r>
      <w:fldChar w:fldCharType="begin"/>
    </w:r>
    <w:r>
      <w:rPr>
        <w:rStyle w:val="20"/>
      </w:rPr>
      <w:instrText xml:space="preserve"> NUMPAGES </w:instrText>
    </w:r>
    <w:r>
      <w:fldChar w:fldCharType="separate"/>
    </w:r>
    <w:r>
      <w:rPr>
        <w:rStyle w:val="20"/>
      </w:rPr>
      <w:t>82</w:t>
    </w:r>
    <w:r>
      <w:fldChar w:fldCharType="end"/>
    </w:r>
    <w:r>
      <w:rPr>
        <w:rStyle w:val="20"/>
        <w:rFonts w:hint="eastAsia"/>
      </w:rPr>
      <w:t>页</w:t>
    </w:r>
    <w:r>
      <w:rPr>
        <w:rFonts w:hint="eastAsia"/>
        <w:color w:val="000000" w:themeColor="text1"/>
        <w14:textFill>
          <w14:solidFill>
            <w14:schemeClr w14:val="tx1"/>
          </w14:solidFill>
        </w14:textFill>
      </w:rPr>
      <w:t>广东采联采购科技有限公司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both"/>
      <w:rPr>
        <w:rFonts w:ascii="楷体_GB2312" w:eastAsia="楷体_GB23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rFonts w:ascii="黑体" w:eastAsia="黑体"/>
        <w:sz w:val="24"/>
      </w:rPr>
      <w:drawing>
        <wp:inline distT="0" distB="0" distL="0" distR="0">
          <wp:extent cx="664845" cy="249555"/>
          <wp:effectExtent l="0" t="0" r="1905" b="17145"/>
          <wp:docPr id="10" name="图片 10" descr="公司LOGO 2013确认版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公司LOGO 2013确认版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64845" cy="249555"/>
                  </a:xfrm>
                  <a:prstGeom prst="rect">
                    <a:avLst/>
                  </a:prstGeom>
                  <a:noFill/>
                  <a:ln>
                    <a:noFill/>
                  </a:ln>
                </pic:spPr>
              </pic:pic>
            </a:graphicData>
          </a:graphic>
        </wp:inline>
      </w:drawing>
    </w:r>
    <w:r>
      <w:rPr>
        <w:rFonts w:hint="eastAsia" w:ascii="宋体" w:hAnsi="宋体"/>
      </w:rPr>
      <w:t xml:space="preserve"> ︱让︱您︱的︱选︱择︱更︱专︱业︱</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rPr>
        <w:rFonts w:ascii="宋体" w:hAnsi="宋体"/>
        <w:color w:val="000000" w:themeColor="text1"/>
        <w14:textFill>
          <w14:solidFill>
            <w14:schemeClr w14:val="tx1"/>
          </w14:solidFill>
        </w14:textFill>
      </w:rPr>
    </w:pPr>
    <w:r>
      <w:rPr>
        <w:rFonts w:hint="eastAsia" w:ascii="黑体" w:eastAsia="黑体"/>
        <w:szCs w:val="21"/>
      </w:rPr>
      <w:drawing>
        <wp:inline distT="0" distB="0" distL="0" distR="0">
          <wp:extent cx="667385" cy="295275"/>
          <wp:effectExtent l="0" t="0" r="18415" b="9525"/>
          <wp:docPr id="13" name="图片 13" descr="IMG_6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65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67776" cy="295275"/>
                  </a:xfrm>
                  <a:prstGeom prst="rect">
                    <a:avLst/>
                  </a:prstGeom>
                  <a:noFill/>
                  <a:ln>
                    <a:noFill/>
                  </a:ln>
                </pic:spPr>
              </pic:pic>
            </a:graphicData>
          </a:graphic>
        </wp:inline>
      </w:drawing>
    </w:r>
    <w:r>
      <w:rPr>
        <w:rFonts w:hint="eastAsia" w:ascii="宋体" w:hAnsi="宋体"/>
      </w:rPr>
      <w:t xml:space="preserve">让︱您︱的︱选︱择︱更︱专︱业︱                 </w:t>
    </w:r>
    <w:r>
      <w:rPr>
        <w:rFonts w:hint="eastAsia" w:ascii="宋体"/>
        <w:bCs/>
        <w:color w:val="000000" w:themeColor="text1"/>
        <w:szCs w:val="20"/>
        <w14:textFill>
          <w14:solidFill>
            <w14:schemeClr w14:val="tx1"/>
          </w14:solidFill>
        </w14:textFill>
      </w:rPr>
      <w:t>项目编号：kp2020-00239（CLF0120JM00ZC33）</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rPr>
        <w:rFonts w:ascii="宋体" w:hAnsi="宋体"/>
      </w:rPr>
    </w:pPr>
    <w:r>
      <w:rPr>
        <w:rFonts w:ascii="宋体" w:hAnsi="宋体"/>
      </w:rPr>
      <w:drawing>
        <wp:inline distT="0" distB="0" distL="0" distR="0">
          <wp:extent cx="619760" cy="276225"/>
          <wp:effectExtent l="0" t="0" r="8890" b="9525"/>
          <wp:docPr id="1" name="图片 1" descr="C:\Users\Administrator\Desktop\新LOGO201808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新LOGO201808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20266" cy="276225"/>
                  </a:xfrm>
                  <a:prstGeom prst="rect">
                    <a:avLst/>
                  </a:prstGeom>
                  <a:noFill/>
                  <a:ln>
                    <a:noFill/>
                  </a:ln>
                </pic:spPr>
              </pic:pic>
            </a:graphicData>
          </a:graphic>
        </wp:inline>
      </w:drawing>
    </w:r>
    <w:r>
      <w:rPr>
        <w:rFonts w:hint="eastAsia" w:ascii="宋体" w:hAnsi="宋体"/>
      </w:rPr>
      <w:t xml:space="preserve"> ︱让︱您︱的︱选︱择︱更︱专︱业︱               </w:t>
    </w:r>
    <w:r>
      <w:rPr>
        <w:rFonts w:hint="eastAsia" w:ascii="宋体"/>
        <w:bCs/>
        <w:color w:val="000000" w:themeColor="text1"/>
        <w:szCs w:val="20"/>
        <w14:textFill>
          <w14:solidFill>
            <w14:schemeClr w14:val="tx1"/>
          </w14:solidFill>
        </w14:textFill>
      </w:rPr>
      <w:t>项目编号：kp2020-00239（CLF0120JM00ZC33）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63640"/>
    <w:multiLevelType w:val="multilevel"/>
    <w:tmpl w:val="8DA6364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98424AA6"/>
    <w:multiLevelType w:val="multilevel"/>
    <w:tmpl w:val="98424AA6"/>
    <w:lvl w:ilvl="0" w:tentative="0">
      <w:start w:val="1"/>
      <w:numFmt w:val="decimal"/>
      <w:suff w:val="space"/>
      <w:lvlText w:val="%1、"/>
      <w:lvlJc w:val="left"/>
      <w:pPr>
        <w:ind w:left="1390" w:hanging="317"/>
      </w:pPr>
      <w:rPr>
        <w:rFonts w:hint="eastAsia"/>
      </w:rPr>
    </w:lvl>
    <w:lvl w:ilvl="1" w:tentative="0">
      <w:start w:val="1"/>
      <w:numFmt w:val="lowerLetter"/>
      <w:lvlText w:val="%2)"/>
      <w:lvlJc w:val="left"/>
      <w:pPr>
        <w:ind w:left="1913" w:hanging="420"/>
      </w:pPr>
    </w:lvl>
    <w:lvl w:ilvl="2" w:tentative="0">
      <w:start w:val="1"/>
      <w:numFmt w:val="lowerRoman"/>
      <w:lvlText w:val="%3."/>
      <w:lvlJc w:val="right"/>
      <w:pPr>
        <w:ind w:left="2333" w:hanging="420"/>
      </w:pPr>
    </w:lvl>
    <w:lvl w:ilvl="3" w:tentative="0">
      <w:start w:val="1"/>
      <w:numFmt w:val="decimal"/>
      <w:lvlText w:val="%4."/>
      <w:lvlJc w:val="left"/>
      <w:pPr>
        <w:ind w:left="2753" w:hanging="420"/>
      </w:pPr>
    </w:lvl>
    <w:lvl w:ilvl="4" w:tentative="0">
      <w:start w:val="1"/>
      <w:numFmt w:val="lowerLetter"/>
      <w:lvlText w:val="%5)"/>
      <w:lvlJc w:val="left"/>
      <w:pPr>
        <w:ind w:left="3173" w:hanging="420"/>
      </w:pPr>
    </w:lvl>
    <w:lvl w:ilvl="5" w:tentative="0">
      <w:start w:val="1"/>
      <w:numFmt w:val="lowerRoman"/>
      <w:lvlText w:val="%6."/>
      <w:lvlJc w:val="right"/>
      <w:pPr>
        <w:ind w:left="3593" w:hanging="420"/>
      </w:pPr>
    </w:lvl>
    <w:lvl w:ilvl="6" w:tentative="0">
      <w:start w:val="1"/>
      <w:numFmt w:val="decimal"/>
      <w:lvlText w:val="%7."/>
      <w:lvlJc w:val="left"/>
      <w:pPr>
        <w:ind w:left="4013" w:hanging="420"/>
      </w:pPr>
    </w:lvl>
    <w:lvl w:ilvl="7" w:tentative="0">
      <w:start w:val="1"/>
      <w:numFmt w:val="lowerLetter"/>
      <w:lvlText w:val="%8)"/>
      <w:lvlJc w:val="left"/>
      <w:pPr>
        <w:ind w:left="4433" w:hanging="420"/>
      </w:pPr>
    </w:lvl>
    <w:lvl w:ilvl="8" w:tentative="0">
      <w:start w:val="1"/>
      <w:numFmt w:val="lowerRoman"/>
      <w:lvlText w:val="%9."/>
      <w:lvlJc w:val="right"/>
      <w:pPr>
        <w:ind w:left="4853" w:hanging="420"/>
      </w:pPr>
    </w:lvl>
  </w:abstractNum>
  <w:abstractNum w:abstractNumId="2">
    <w:nsid w:val="AE377FDC"/>
    <w:multiLevelType w:val="multilevel"/>
    <w:tmpl w:val="AE377FDC"/>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AE7F8AC4"/>
    <w:multiLevelType w:val="multilevel"/>
    <w:tmpl w:val="AE7F8AC4"/>
    <w:lvl w:ilvl="0" w:tentative="0">
      <w:start w:val="1"/>
      <w:numFmt w:val="decimal"/>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B48CE783"/>
    <w:multiLevelType w:val="multilevel"/>
    <w:tmpl w:val="B48CE783"/>
    <w:lvl w:ilvl="0" w:tentative="0">
      <w:start w:val="1"/>
      <w:numFmt w:val="japaneseCounting"/>
      <w:lvlText w:val="%1、"/>
      <w:lvlJc w:val="left"/>
      <w:pPr>
        <w:tabs>
          <w:tab w:val="left" w:pos="420"/>
        </w:tabs>
        <w:ind w:left="420" w:hanging="420"/>
      </w:pPr>
      <w:rPr>
        <w:rFonts w:hint="eastAsia" w:ascii="宋体" w:hAnsi="宋体" w:eastAsia="宋体" w:cs="Courier New"/>
      </w:rPr>
    </w:lvl>
    <w:lvl w:ilvl="1" w:tentative="0">
      <w:start w:val="1"/>
      <w:numFmt w:val="decimal"/>
      <w:suff w:val="space"/>
      <w:lvlText w:val="%2、"/>
      <w:lvlJc w:val="left"/>
      <w:pPr>
        <w:ind w:left="780" w:hanging="360"/>
      </w:pPr>
      <w:rPr>
        <w:rFonts w:hint="default"/>
        <w:b w:val="0"/>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5">
    <w:nsid w:val="BEE8E734"/>
    <w:multiLevelType w:val="singleLevel"/>
    <w:tmpl w:val="BEE8E734"/>
    <w:lvl w:ilvl="0" w:tentative="0">
      <w:start w:val="1"/>
      <w:numFmt w:val="decimalEnclosedCircleChinese"/>
      <w:suff w:val="nothing"/>
      <w:lvlText w:val="%1　"/>
      <w:lvlJc w:val="left"/>
      <w:pPr>
        <w:ind w:left="0" w:firstLine="400"/>
      </w:pPr>
      <w:rPr>
        <w:rFonts w:hint="eastAsia"/>
      </w:rPr>
    </w:lvl>
  </w:abstractNum>
  <w:abstractNum w:abstractNumId="6">
    <w:nsid w:val="CDF8290A"/>
    <w:multiLevelType w:val="multilevel"/>
    <w:tmpl w:val="CDF8290A"/>
    <w:lvl w:ilvl="0" w:tentative="0">
      <w:start w:val="1"/>
      <w:numFmt w:val="japaneseCounting"/>
      <w:suff w:val="space"/>
      <w:lvlText w:val="%1、"/>
      <w:lvlJc w:val="left"/>
      <w:pPr>
        <w:ind w:left="5399" w:hanging="720"/>
      </w:pPr>
      <w:rPr>
        <w:rFonts w:hint="eastAsia"/>
        <w:strike w:val="0"/>
        <w:sz w:val="28"/>
        <w:szCs w:val="28"/>
        <w:lang w:val="en-US"/>
      </w:rPr>
    </w:lvl>
    <w:lvl w:ilvl="1" w:tentative="0">
      <w:start w:val="1"/>
      <w:numFmt w:val="decimal"/>
      <w:lvlText w:val="%2."/>
      <w:lvlJc w:val="left"/>
      <w:pPr>
        <w:ind w:left="3534" w:hanging="420"/>
      </w:pPr>
      <w:rPr>
        <w:rFonts w:hint="eastAsia"/>
      </w:rPr>
    </w:lvl>
    <w:lvl w:ilvl="2" w:tentative="0">
      <w:start w:val="1"/>
      <w:numFmt w:val="decimal"/>
      <w:lvlText w:val="（%3)"/>
      <w:lvlJc w:val="left"/>
      <w:pPr>
        <w:ind w:left="3954" w:hanging="420"/>
      </w:pPr>
      <w:rPr>
        <w:rFonts w:hint="eastAsia"/>
      </w:rPr>
    </w:lvl>
    <w:lvl w:ilvl="3" w:tentative="0">
      <w:start w:val="1"/>
      <w:numFmt w:val="decimal"/>
      <w:lvlText w:val="%4)"/>
      <w:lvlJc w:val="left"/>
      <w:pPr>
        <w:ind w:left="4374" w:hanging="420"/>
      </w:pPr>
      <w:rPr>
        <w:rFonts w:hint="eastAsia"/>
      </w:rPr>
    </w:lvl>
    <w:lvl w:ilvl="4" w:tentative="0">
      <w:start w:val="1"/>
      <w:numFmt w:val="lowerLetter"/>
      <w:lvlText w:val="%5)"/>
      <w:lvlJc w:val="left"/>
      <w:pPr>
        <w:ind w:left="4794" w:hanging="420"/>
      </w:pPr>
      <w:rPr>
        <w:rFonts w:hint="eastAsia"/>
      </w:rPr>
    </w:lvl>
    <w:lvl w:ilvl="5" w:tentative="0">
      <w:start w:val="1"/>
      <w:numFmt w:val="lowerRoman"/>
      <w:lvlText w:val="%6."/>
      <w:lvlJc w:val="right"/>
      <w:pPr>
        <w:ind w:left="5214" w:hanging="420"/>
      </w:pPr>
      <w:rPr>
        <w:rFonts w:hint="eastAsia"/>
      </w:rPr>
    </w:lvl>
    <w:lvl w:ilvl="6" w:tentative="0">
      <w:start w:val="1"/>
      <w:numFmt w:val="decimal"/>
      <w:lvlText w:val="%7."/>
      <w:lvlJc w:val="left"/>
      <w:pPr>
        <w:ind w:left="5634" w:hanging="420"/>
      </w:pPr>
      <w:rPr>
        <w:rFonts w:hint="eastAsia"/>
      </w:rPr>
    </w:lvl>
    <w:lvl w:ilvl="7" w:tentative="0">
      <w:start w:val="1"/>
      <w:numFmt w:val="lowerLetter"/>
      <w:lvlText w:val="%8)"/>
      <w:lvlJc w:val="left"/>
      <w:pPr>
        <w:ind w:left="6054" w:hanging="420"/>
      </w:pPr>
      <w:rPr>
        <w:rFonts w:hint="eastAsia"/>
      </w:rPr>
    </w:lvl>
    <w:lvl w:ilvl="8" w:tentative="0">
      <w:start w:val="1"/>
      <w:numFmt w:val="lowerRoman"/>
      <w:lvlText w:val="%9."/>
      <w:lvlJc w:val="right"/>
      <w:pPr>
        <w:ind w:left="6474" w:hanging="420"/>
      </w:pPr>
      <w:rPr>
        <w:rFonts w:hint="eastAsia"/>
      </w:rPr>
    </w:lvl>
  </w:abstractNum>
  <w:abstractNum w:abstractNumId="7">
    <w:nsid w:val="CEA298CD"/>
    <w:multiLevelType w:val="multilevel"/>
    <w:tmpl w:val="CEA298C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D85F8963"/>
    <w:multiLevelType w:val="singleLevel"/>
    <w:tmpl w:val="D85F8963"/>
    <w:lvl w:ilvl="0" w:tentative="0">
      <w:start w:val="1"/>
      <w:numFmt w:val="decimal"/>
      <w:suff w:val="nothing"/>
      <w:lvlText w:val="%1、"/>
      <w:lvlJc w:val="left"/>
    </w:lvl>
  </w:abstractNum>
  <w:abstractNum w:abstractNumId="9">
    <w:nsid w:val="DAC8E8CB"/>
    <w:multiLevelType w:val="multilevel"/>
    <w:tmpl w:val="DAC8E8CB"/>
    <w:lvl w:ilvl="0" w:tentative="0">
      <w:start w:val="1"/>
      <w:numFmt w:val="chineseCountingThousand"/>
      <w:lvlText w:val="(%1)"/>
      <w:lvlJc w:val="left"/>
      <w:pPr>
        <w:tabs>
          <w:tab w:val="left" w:pos="425"/>
        </w:tabs>
        <w:ind w:left="425" w:hanging="425"/>
      </w:pPr>
      <w:rPr>
        <w:b w:val="0"/>
        <w:color w:val="auto"/>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0">
    <w:nsid w:val="DBD58339"/>
    <w:multiLevelType w:val="multilevel"/>
    <w:tmpl w:val="DBD58339"/>
    <w:lvl w:ilvl="0" w:tentative="0">
      <w:start w:val="1"/>
      <w:numFmt w:val="decimal"/>
      <w:suff w:val="space"/>
      <w:lvlText w:val="（%1)"/>
      <w:lvlJc w:val="left"/>
      <w:pPr>
        <w:ind w:left="420" w:hanging="420"/>
      </w:pPr>
      <w:rPr>
        <w:rFonts w:hint="eastAsia"/>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DC901631"/>
    <w:multiLevelType w:val="multilevel"/>
    <w:tmpl w:val="DC901631"/>
    <w:lvl w:ilvl="0" w:tentative="0">
      <w:start w:val="1"/>
      <w:numFmt w:val="decimal"/>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DDBA8235"/>
    <w:multiLevelType w:val="multilevel"/>
    <w:tmpl w:val="DDBA8235"/>
    <w:lvl w:ilvl="0" w:tentative="0">
      <w:start w:val="1"/>
      <w:numFmt w:val="decimal"/>
      <w:lvlText w:val="%1."/>
      <w:lvlJc w:val="left"/>
      <w:pPr>
        <w:ind w:left="346" w:hanging="420"/>
      </w:pPr>
    </w:lvl>
    <w:lvl w:ilvl="1" w:tentative="0">
      <w:start w:val="1"/>
      <w:numFmt w:val="lowerLetter"/>
      <w:lvlText w:val="%2)"/>
      <w:lvlJc w:val="left"/>
      <w:pPr>
        <w:ind w:left="766" w:hanging="420"/>
      </w:pPr>
    </w:lvl>
    <w:lvl w:ilvl="2" w:tentative="0">
      <w:start w:val="1"/>
      <w:numFmt w:val="lowerRoman"/>
      <w:lvlText w:val="%3."/>
      <w:lvlJc w:val="right"/>
      <w:pPr>
        <w:ind w:left="1186" w:hanging="420"/>
      </w:pPr>
    </w:lvl>
    <w:lvl w:ilvl="3" w:tentative="0">
      <w:start w:val="1"/>
      <w:numFmt w:val="decimal"/>
      <w:lvlText w:val="%4."/>
      <w:lvlJc w:val="left"/>
      <w:pPr>
        <w:ind w:left="1606" w:hanging="420"/>
      </w:pPr>
    </w:lvl>
    <w:lvl w:ilvl="4" w:tentative="0">
      <w:start w:val="1"/>
      <w:numFmt w:val="lowerLetter"/>
      <w:lvlText w:val="%5)"/>
      <w:lvlJc w:val="left"/>
      <w:pPr>
        <w:ind w:left="2026" w:hanging="420"/>
      </w:pPr>
    </w:lvl>
    <w:lvl w:ilvl="5" w:tentative="0">
      <w:start w:val="1"/>
      <w:numFmt w:val="lowerRoman"/>
      <w:lvlText w:val="%6."/>
      <w:lvlJc w:val="right"/>
      <w:pPr>
        <w:ind w:left="2446" w:hanging="420"/>
      </w:pPr>
    </w:lvl>
    <w:lvl w:ilvl="6" w:tentative="0">
      <w:start w:val="1"/>
      <w:numFmt w:val="decimal"/>
      <w:lvlText w:val="%7."/>
      <w:lvlJc w:val="left"/>
      <w:pPr>
        <w:ind w:left="2866" w:hanging="420"/>
      </w:pPr>
    </w:lvl>
    <w:lvl w:ilvl="7" w:tentative="0">
      <w:start w:val="1"/>
      <w:numFmt w:val="lowerLetter"/>
      <w:lvlText w:val="%8)"/>
      <w:lvlJc w:val="left"/>
      <w:pPr>
        <w:ind w:left="3286" w:hanging="420"/>
      </w:pPr>
    </w:lvl>
    <w:lvl w:ilvl="8" w:tentative="0">
      <w:start w:val="1"/>
      <w:numFmt w:val="lowerRoman"/>
      <w:lvlText w:val="%9."/>
      <w:lvlJc w:val="right"/>
      <w:pPr>
        <w:ind w:left="3706" w:hanging="420"/>
      </w:pPr>
    </w:lvl>
  </w:abstractNum>
  <w:abstractNum w:abstractNumId="13">
    <w:nsid w:val="DFB8B0C3"/>
    <w:multiLevelType w:val="multilevel"/>
    <w:tmpl w:val="DFB8B0C3"/>
    <w:lvl w:ilvl="0" w:tentative="0">
      <w:start w:val="1"/>
      <w:numFmt w:val="chineseCountingThousand"/>
      <w:lvlText w:val="%1、"/>
      <w:lvlJc w:val="left"/>
      <w:pPr>
        <w:ind w:left="425" w:hanging="425"/>
      </w:pPr>
      <w:rPr>
        <w:rFonts w:hint="eastAsia"/>
        <w:b w:val="0"/>
        <w:i w:val="0"/>
        <w:color w:val="auto"/>
        <w:sz w:val="24"/>
        <w:szCs w:val="24"/>
      </w:rPr>
    </w:lvl>
    <w:lvl w:ilvl="1" w:tentative="0">
      <w:start w:val="1"/>
      <w:numFmt w:val="chineseCountingThousand"/>
      <w:lvlText w:val="(%2)"/>
      <w:lvlJc w:val="left"/>
      <w:pPr>
        <w:ind w:left="567" w:hanging="567"/>
      </w:pPr>
      <w:rPr>
        <w:rFonts w:hint="eastAsia" w:ascii="等线" w:hAnsi="等线" w:eastAsia="等线"/>
        <w:b w:val="0"/>
        <w:i w:val="0"/>
        <w:strike w:val="0"/>
        <w:color w:val="auto"/>
        <w:sz w:val="24"/>
        <w:szCs w:val="24"/>
      </w:rPr>
    </w:lvl>
    <w:lvl w:ilvl="2" w:tentative="0">
      <w:start w:val="1"/>
      <w:numFmt w:val="decimal"/>
      <w:suff w:val="space"/>
      <w:lvlText w:val="%3."/>
      <w:lvlJc w:val="left"/>
      <w:pPr>
        <w:ind w:left="709" w:hanging="709"/>
      </w:pPr>
      <w:rPr>
        <w:rFonts w:hint="eastAsia" w:ascii="宋体" w:hAnsi="宋体" w:eastAsia="宋体"/>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4">
    <w:nsid w:val="EC79710A"/>
    <w:multiLevelType w:val="multilevel"/>
    <w:tmpl w:val="EC79710A"/>
    <w:lvl w:ilvl="0" w:tentative="0">
      <w:start w:val="2"/>
      <w:numFmt w:val="chineseCounting"/>
      <w:lvlText w:val="(%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FEB91ABC"/>
    <w:multiLevelType w:val="multilevel"/>
    <w:tmpl w:val="FEB91AB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00000012"/>
    <w:multiLevelType w:val="multilevel"/>
    <w:tmpl w:val="00000012"/>
    <w:lvl w:ilvl="0" w:tentative="0">
      <w:start w:val="1"/>
      <w:numFmt w:val="japaneseCounting"/>
      <w:lvlText w:val="%1、"/>
      <w:lvlJc w:val="left"/>
      <w:pPr>
        <w:ind w:left="360" w:hanging="360"/>
      </w:pPr>
      <w:rPr>
        <w:color w:val="auto"/>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00CC4FE1"/>
    <w:multiLevelType w:val="multilevel"/>
    <w:tmpl w:val="00CC4FE1"/>
    <w:lvl w:ilvl="0" w:tentative="0">
      <w:start w:val="1"/>
      <w:numFmt w:val="chineseCountingThousand"/>
      <w:lvlText w:val="(%1)"/>
      <w:lvlJc w:val="left"/>
      <w:pPr>
        <w:tabs>
          <w:tab w:val="left" w:pos="420"/>
        </w:tabs>
        <w:ind w:left="420" w:hanging="420"/>
      </w:pPr>
      <w:rPr>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01BB1B3A"/>
    <w:multiLevelType w:val="multilevel"/>
    <w:tmpl w:val="01BB1B3A"/>
    <w:lvl w:ilvl="0" w:tentative="0">
      <w:start w:val="1"/>
      <w:numFmt w:val="chineseCountingThousand"/>
      <w:lvlText w:val="(%1)"/>
      <w:lvlJc w:val="left"/>
      <w:pPr>
        <w:ind w:left="420" w:hanging="420"/>
      </w:pPr>
      <w:rPr>
        <w:color w:val="auto"/>
      </w:rPr>
    </w:lvl>
    <w:lvl w:ilvl="1" w:tentative="0">
      <w:start w:val="1"/>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03F62668"/>
    <w:multiLevelType w:val="multilevel"/>
    <w:tmpl w:val="03F62668"/>
    <w:lvl w:ilvl="0" w:tentative="0">
      <w:start w:val="1"/>
      <w:numFmt w:val="chineseCountingThousand"/>
      <w:lvlText w:val="%1、"/>
      <w:lvlJc w:val="left"/>
      <w:pPr>
        <w:ind w:left="425" w:hanging="425"/>
      </w:pPr>
      <w:rPr>
        <w:rFonts w:hint="eastAsia"/>
        <w:b w:val="0"/>
        <w:i w:val="0"/>
        <w:color w:val="auto"/>
        <w:sz w:val="24"/>
        <w:szCs w:val="24"/>
      </w:rPr>
    </w:lvl>
    <w:lvl w:ilvl="1" w:tentative="0">
      <w:start w:val="1"/>
      <w:numFmt w:val="chineseCountingThousand"/>
      <w:lvlText w:val="(%2)"/>
      <w:lvlJc w:val="left"/>
      <w:pPr>
        <w:ind w:left="567" w:hanging="567"/>
      </w:pPr>
      <w:rPr>
        <w:rFonts w:asciiTheme="minorEastAsia" w:hAnsiTheme="minorEastAsia" w:eastAsiaTheme="minorEastAsia"/>
        <w:b w:val="0"/>
        <w:i w:val="0"/>
        <w:strike w:val="0"/>
        <w:color w:val="auto"/>
        <w:sz w:val="24"/>
        <w:szCs w:val="24"/>
      </w:rPr>
    </w:lvl>
    <w:lvl w:ilvl="2" w:tentative="0">
      <w:start w:val="1"/>
      <w:numFmt w:val="decimal"/>
      <w:lvlText w:val="%3."/>
      <w:lvlJc w:val="left"/>
      <w:pPr>
        <w:ind w:left="709" w:hanging="709"/>
      </w:pPr>
      <w:rPr>
        <w:rFonts w:asciiTheme="minorEastAsia" w:hAnsiTheme="minorEastAsia" w:eastAsiaTheme="minorEastAsia"/>
        <w:b w:val="0"/>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0">
    <w:nsid w:val="04304859"/>
    <w:multiLevelType w:val="multilevel"/>
    <w:tmpl w:val="04304859"/>
    <w:lvl w:ilvl="0" w:tentative="0">
      <w:start w:val="1"/>
      <w:numFmt w:val="decimal"/>
      <w:lvlText w:val="%1."/>
      <w:lvlJc w:val="left"/>
      <w:pPr>
        <w:ind w:left="840" w:hanging="420"/>
      </w:pPr>
      <w:rPr>
        <w:rFonts w:hint="eastAsia"/>
        <w:b/>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059A147F"/>
    <w:multiLevelType w:val="multilevel"/>
    <w:tmpl w:val="059A147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07C4C7D6"/>
    <w:multiLevelType w:val="singleLevel"/>
    <w:tmpl w:val="07C4C7D6"/>
    <w:lvl w:ilvl="0" w:tentative="0">
      <w:start w:val="1"/>
      <w:numFmt w:val="decimal"/>
      <w:suff w:val="nothing"/>
      <w:lvlText w:val="%1、"/>
      <w:lvlJc w:val="left"/>
    </w:lvl>
  </w:abstractNum>
  <w:abstractNum w:abstractNumId="23">
    <w:nsid w:val="093D2182"/>
    <w:multiLevelType w:val="multilevel"/>
    <w:tmpl w:val="093D2182"/>
    <w:lvl w:ilvl="0" w:tentative="0">
      <w:start w:val="1"/>
      <w:numFmt w:val="decimal"/>
      <w:lvlText w:val="%1."/>
      <w:lvlJc w:val="left"/>
      <w:pPr>
        <w:ind w:left="840" w:hanging="420"/>
      </w:pPr>
      <w:rPr>
        <w:rFonts w:hint="eastAsia"/>
        <w:strike w:val="0"/>
        <w:color w:val="000000" w:themeColor="text1"/>
        <w14:textFill>
          <w14:solidFill>
            <w14:schemeClr w14:val="tx1"/>
          </w14:solidFill>
        </w14:textFill>
      </w:rPr>
    </w:lvl>
    <w:lvl w:ilvl="1" w:tentative="0">
      <w:start w:val="9"/>
      <w:numFmt w:val="japaneseCounting"/>
      <w:lvlText w:val="（%2）"/>
      <w:lvlJc w:val="left"/>
      <w:pPr>
        <w:ind w:left="1185" w:hanging="765"/>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09681B39"/>
    <w:multiLevelType w:val="multilevel"/>
    <w:tmpl w:val="09681B39"/>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5">
    <w:nsid w:val="098B5B8C"/>
    <w:multiLevelType w:val="multilevel"/>
    <w:tmpl w:val="098B5B8C"/>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0A1D29FE"/>
    <w:multiLevelType w:val="multilevel"/>
    <w:tmpl w:val="0A1D29FE"/>
    <w:lvl w:ilvl="0" w:tentative="0">
      <w:start w:val="3"/>
      <w:numFmt w:val="decimal"/>
      <w:lvlText w:val="格式%1"/>
      <w:lvlJc w:val="left"/>
      <w:pPr>
        <w:tabs>
          <w:tab w:val="left" w:pos="425"/>
        </w:tabs>
        <w:ind w:left="425" w:hanging="425"/>
      </w:pPr>
      <w:rPr>
        <w:rFonts w:hint="eastAsia" w:ascii="黑体" w:eastAsia="黑体"/>
        <w:b w:val="0"/>
        <w:color w:val="auto"/>
        <w:sz w:val="28"/>
        <w:szCs w:val="28"/>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202"/>
        </w:tabs>
        <w:ind w:left="5102" w:hanging="1700"/>
      </w:pPr>
      <w:rPr>
        <w:rFonts w:hint="eastAsia"/>
      </w:rPr>
    </w:lvl>
  </w:abstractNum>
  <w:abstractNum w:abstractNumId="27">
    <w:nsid w:val="0C8E6839"/>
    <w:multiLevelType w:val="multilevel"/>
    <w:tmpl w:val="0C8E6839"/>
    <w:lvl w:ilvl="0" w:tentative="0">
      <w:start w:val="1"/>
      <w:numFmt w:val="chineseCountingThousand"/>
      <w:lvlText w:val="(%1)"/>
      <w:lvlJc w:val="left"/>
      <w:pPr>
        <w:ind w:left="360" w:hanging="360"/>
      </w:pPr>
      <w:rPr>
        <w:rFonts w:hint="eastAsia"/>
        <w:i w:val="0"/>
        <w:strike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0E05933C"/>
    <w:multiLevelType w:val="multilevel"/>
    <w:tmpl w:val="0E05933C"/>
    <w:lvl w:ilvl="0" w:tentative="0">
      <w:start w:val="1"/>
      <w:numFmt w:val="decimal"/>
      <w:lvlText w:val="%1)"/>
      <w:lvlJc w:val="left"/>
      <w:pPr>
        <w:ind w:left="416" w:hanging="360"/>
      </w:pPr>
      <w:rPr>
        <w:rFonts w:hint="default"/>
      </w:rPr>
    </w:lvl>
    <w:lvl w:ilvl="1" w:tentative="0">
      <w:start w:val="1"/>
      <w:numFmt w:val="lowerLetter"/>
      <w:lvlText w:val="%2)"/>
      <w:lvlJc w:val="left"/>
      <w:pPr>
        <w:ind w:left="896" w:hanging="420"/>
      </w:pPr>
    </w:lvl>
    <w:lvl w:ilvl="2" w:tentative="0">
      <w:start w:val="1"/>
      <w:numFmt w:val="lowerRoman"/>
      <w:lvlText w:val="%3."/>
      <w:lvlJc w:val="right"/>
      <w:pPr>
        <w:ind w:left="1316" w:hanging="420"/>
      </w:pPr>
    </w:lvl>
    <w:lvl w:ilvl="3" w:tentative="0">
      <w:start w:val="1"/>
      <w:numFmt w:val="decimal"/>
      <w:lvlText w:val="%4."/>
      <w:lvlJc w:val="left"/>
      <w:pPr>
        <w:ind w:left="1736" w:hanging="420"/>
      </w:pPr>
    </w:lvl>
    <w:lvl w:ilvl="4" w:tentative="0">
      <w:start w:val="1"/>
      <w:numFmt w:val="lowerLetter"/>
      <w:lvlText w:val="%5)"/>
      <w:lvlJc w:val="left"/>
      <w:pPr>
        <w:ind w:left="2156" w:hanging="420"/>
      </w:pPr>
    </w:lvl>
    <w:lvl w:ilvl="5" w:tentative="0">
      <w:start w:val="1"/>
      <w:numFmt w:val="lowerRoman"/>
      <w:lvlText w:val="%6."/>
      <w:lvlJc w:val="right"/>
      <w:pPr>
        <w:ind w:left="2576" w:hanging="420"/>
      </w:pPr>
    </w:lvl>
    <w:lvl w:ilvl="6" w:tentative="0">
      <w:start w:val="1"/>
      <w:numFmt w:val="decimal"/>
      <w:lvlText w:val="%7."/>
      <w:lvlJc w:val="left"/>
      <w:pPr>
        <w:ind w:left="2996" w:hanging="420"/>
      </w:pPr>
    </w:lvl>
    <w:lvl w:ilvl="7" w:tentative="0">
      <w:start w:val="1"/>
      <w:numFmt w:val="lowerLetter"/>
      <w:lvlText w:val="%8)"/>
      <w:lvlJc w:val="left"/>
      <w:pPr>
        <w:ind w:left="3416" w:hanging="420"/>
      </w:pPr>
    </w:lvl>
    <w:lvl w:ilvl="8" w:tentative="0">
      <w:start w:val="1"/>
      <w:numFmt w:val="lowerRoman"/>
      <w:lvlText w:val="%9."/>
      <w:lvlJc w:val="right"/>
      <w:pPr>
        <w:ind w:left="3836" w:hanging="420"/>
      </w:pPr>
    </w:lvl>
  </w:abstractNum>
  <w:abstractNum w:abstractNumId="29">
    <w:nsid w:val="0FA61791"/>
    <w:multiLevelType w:val="multilevel"/>
    <w:tmpl w:val="0FA61791"/>
    <w:lvl w:ilvl="0" w:tentative="0">
      <w:start w:val="1"/>
      <w:numFmt w:val="decimal"/>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0">
    <w:nsid w:val="113B4380"/>
    <w:multiLevelType w:val="multilevel"/>
    <w:tmpl w:val="113B4380"/>
    <w:lvl w:ilvl="0" w:tentative="0">
      <w:start w:val="1"/>
      <w:numFmt w:val="decimal"/>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1">
    <w:nsid w:val="1230725E"/>
    <w:multiLevelType w:val="multilevel"/>
    <w:tmpl w:val="1230725E"/>
    <w:lvl w:ilvl="0" w:tentative="0">
      <w:start w:val="1"/>
      <w:numFmt w:val="chineseCountingThousand"/>
      <w:lvlText w:val="(%1)"/>
      <w:lvlJc w:val="left"/>
      <w:pPr>
        <w:ind w:left="846" w:hanging="420"/>
      </w:pPr>
      <w:rPr>
        <w:color w:val="auto"/>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32">
    <w:nsid w:val="124D3F57"/>
    <w:multiLevelType w:val="multilevel"/>
    <w:tmpl w:val="124D3F57"/>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3">
    <w:nsid w:val="13C34E09"/>
    <w:multiLevelType w:val="multilevel"/>
    <w:tmpl w:val="13C34E09"/>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4">
    <w:nsid w:val="144417B6"/>
    <w:multiLevelType w:val="multilevel"/>
    <w:tmpl w:val="144417B6"/>
    <w:lvl w:ilvl="0" w:tentative="0">
      <w:start w:val="1"/>
      <w:numFmt w:val="decimal"/>
      <w:suff w:val="space"/>
      <w:lvlText w:val="%1、"/>
      <w:lvlJc w:val="left"/>
      <w:pPr>
        <w:ind w:left="737" w:hanging="317"/>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5">
    <w:nsid w:val="148901B8"/>
    <w:multiLevelType w:val="multilevel"/>
    <w:tmpl w:val="148901B8"/>
    <w:lvl w:ilvl="0" w:tentative="0">
      <w:start w:val="1"/>
      <w:numFmt w:val="chineseCountingThousand"/>
      <w:lvlText w:val="（%1）"/>
      <w:lvlJc w:val="left"/>
      <w:pPr>
        <w:ind w:left="420" w:hanging="420"/>
      </w:pPr>
      <w:rPr>
        <w:rFonts w:hint="eastAsia" w:ascii="宋体" w:hAnsi="宋体" w:eastAsia="宋体" w:cs="Times New Roman"/>
        <w:color w:val="auto"/>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15743115"/>
    <w:multiLevelType w:val="multilevel"/>
    <w:tmpl w:val="15743115"/>
    <w:lvl w:ilvl="0" w:tentative="0">
      <w:start w:val="1"/>
      <w:numFmt w:val="chineseCountingThousand"/>
      <w:lvlText w:val="(%1)"/>
      <w:lvlJc w:val="left"/>
      <w:pPr>
        <w:tabs>
          <w:tab w:val="left" w:pos="425"/>
        </w:tabs>
        <w:ind w:left="425" w:hanging="425"/>
      </w:pPr>
      <w:rPr>
        <w:rFonts w:hint="eastAsia"/>
        <w:b w:val="0"/>
        <w:color w:val="auto"/>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7">
    <w:nsid w:val="187A48C1"/>
    <w:multiLevelType w:val="multilevel"/>
    <w:tmpl w:val="187A48C1"/>
    <w:lvl w:ilvl="0" w:tentative="0">
      <w:start w:val="1"/>
      <w:numFmt w:val="japaneseCounting"/>
      <w:lvlText w:val="%1、"/>
      <w:lvlJc w:val="left"/>
      <w:pPr>
        <w:tabs>
          <w:tab w:val="left" w:pos="420"/>
        </w:tabs>
        <w:ind w:left="420" w:hanging="420"/>
      </w:pPr>
      <w:rPr>
        <w:rFonts w:hint="eastAsia" w:ascii="宋体" w:hAnsi="宋体" w:eastAsia="宋体" w:cs="Courier New"/>
      </w:rPr>
    </w:lvl>
    <w:lvl w:ilvl="1" w:tentative="0">
      <w:start w:val="1"/>
      <w:numFmt w:val="decimal"/>
      <w:suff w:val="space"/>
      <w:lvlText w:val="%2、"/>
      <w:lvlJc w:val="left"/>
      <w:pPr>
        <w:ind w:left="780" w:hanging="360"/>
      </w:pPr>
      <w:rPr>
        <w:rFonts w:hint="default"/>
        <w:b w:val="0"/>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38">
    <w:nsid w:val="198F3F03"/>
    <w:multiLevelType w:val="multilevel"/>
    <w:tmpl w:val="198F3F03"/>
    <w:lvl w:ilvl="0" w:tentative="0">
      <w:start w:val="1"/>
      <w:numFmt w:val="chineseCountingThousand"/>
      <w:lvlText w:val="(%1)"/>
      <w:lvlJc w:val="left"/>
      <w:pPr>
        <w:tabs>
          <w:tab w:val="left" w:pos="425"/>
        </w:tabs>
        <w:ind w:left="425" w:hanging="425"/>
      </w:pPr>
      <w:rPr>
        <w:rFonts w:hint="eastAsia"/>
        <w:strike w:val="0"/>
      </w:rPr>
    </w:lvl>
    <w:lvl w:ilvl="1" w:tentative="0">
      <w:start w:val="1"/>
      <w:numFmt w:val="decimal"/>
      <w:lvlText w:val="%2."/>
      <w:lvlJc w:val="left"/>
      <w:pPr>
        <w:tabs>
          <w:tab w:val="left" w:pos="567"/>
        </w:tabs>
        <w:ind w:left="567" w:hanging="567"/>
      </w:pPr>
      <w:rPr>
        <w:rFonts w:hint="eastAsia"/>
        <w:b w:val="0"/>
        <w:strike w:val="0"/>
        <w:dstrike w:val="0"/>
        <w:color w:val="auto"/>
        <w:sz w:val="24"/>
        <w:szCs w:val="24"/>
      </w:rPr>
    </w:lvl>
    <w:lvl w:ilvl="2" w:tentative="0">
      <w:start w:val="1"/>
      <w:numFmt w:val="decimal"/>
      <w:lvlText w:val="（%3)"/>
      <w:lvlJc w:val="left"/>
      <w:pPr>
        <w:tabs>
          <w:tab w:val="left" w:pos="567"/>
        </w:tabs>
        <w:ind w:left="567" w:hanging="567"/>
      </w:pPr>
      <w:rPr>
        <w:rFonts w:hint="eastAsia"/>
        <w:b w:val="0"/>
        <w:sz w:val="24"/>
        <w:szCs w:val="24"/>
      </w:rPr>
    </w:lvl>
    <w:lvl w:ilvl="3" w:tentative="0">
      <w:start w:val="1"/>
      <w:numFmt w:val="decimal"/>
      <w:lvlText w:val="（%4)"/>
      <w:lvlJc w:val="left"/>
      <w:pPr>
        <w:tabs>
          <w:tab w:val="left" w:pos="851"/>
        </w:tabs>
        <w:ind w:left="851" w:hanging="851"/>
      </w:pPr>
      <w:rPr>
        <w:rFonts w:hint="eastAsia"/>
        <w:dstrike w:val="0"/>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9">
    <w:nsid w:val="1AB30B54"/>
    <w:multiLevelType w:val="multilevel"/>
    <w:tmpl w:val="1AB3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1B23547E"/>
    <w:multiLevelType w:val="multilevel"/>
    <w:tmpl w:val="1B23547E"/>
    <w:lvl w:ilvl="0" w:tentative="0">
      <w:start w:val="1"/>
      <w:numFmt w:val="chineseCountingThousand"/>
      <w:lvlText w:val="%1、"/>
      <w:lvlJc w:val="left"/>
      <w:pPr>
        <w:ind w:left="425" w:hanging="425"/>
      </w:pPr>
      <w:rPr>
        <w:rFonts w:hint="eastAsia"/>
        <w:b w:val="0"/>
        <w:i w:val="0"/>
        <w:color w:val="auto"/>
        <w:sz w:val="24"/>
        <w:szCs w:val="24"/>
      </w:rPr>
    </w:lvl>
    <w:lvl w:ilvl="1" w:tentative="0">
      <w:start w:val="1"/>
      <w:numFmt w:val="chineseCountingThousand"/>
      <w:lvlText w:val="(%2)"/>
      <w:lvlJc w:val="left"/>
      <w:pPr>
        <w:ind w:left="567" w:hanging="567"/>
      </w:pPr>
      <w:rPr>
        <w:rFonts w:asciiTheme="minorEastAsia" w:hAnsiTheme="minorEastAsia" w:eastAsiaTheme="minorEastAsia"/>
        <w:b w:val="0"/>
        <w:i w:val="0"/>
        <w:strike w:val="0"/>
        <w:color w:val="auto"/>
        <w:sz w:val="24"/>
        <w:szCs w:val="24"/>
      </w:rPr>
    </w:lvl>
    <w:lvl w:ilvl="2" w:tentative="0">
      <w:start w:val="1"/>
      <w:numFmt w:val="decimal"/>
      <w:lvlText w:val="%3."/>
      <w:lvlJc w:val="left"/>
      <w:pPr>
        <w:ind w:left="709" w:hanging="709"/>
      </w:pPr>
      <w:rPr>
        <w:rFonts w:asciiTheme="minorEastAsia" w:hAnsiTheme="minorEastAsia" w:eastAsiaTheme="minorEastAsia"/>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1">
    <w:nsid w:val="1B7D3262"/>
    <w:multiLevelType w:val="multilevel"/>
    <w:tmpl w:val="1B7D326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1C95E446"/>
    <w:multiLevelType w:val="multilevel"/>
    <w:tmpl w:val="1C95E446"/>
    <w:lvl w:ilvl="0" w:tentative="0">
      <w:start w:val="1"/>
      <w:numFmt w:val="decimal"/>
      <w:suff w:val="space"/>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1DC43139"/>
    <w:multiLevelType w:val="singleLevel"/>
    <w:tmpl w:val="1DC43139"/>
    <w:lvl w:ilvl="0" w:tentative="0">
      <w:start w:val="1"/>
      <w:numFmt w:val="decimal"/>
      <w:lvlText w:val="%1."/>
      <w:lvlJc w:val="left"/>
      <w:pPr>
        <w:tabs>
          <w:tab w:val="left" w:pos="312"/>
        </w:tabs>
      </w:pPr>
    </w:lvl>
  </w:abstractNum>
  <w:abstractNum w:abstractNumId="44">
    <w:nsid w:val="1DD22B5D"/>
    <w:multiLevelType w:val="multilevel"/>
    <w:tmpl w:val="1DD22B5D"/>
    <w:lvl w:ilvl="0" w:tentative="0">
      <w:start w:val="1"/>
      <w:numFmt w:val="decimal"/>
      <w:lvlText w:val="%1)"/>
      <w:lvlJc w:val="left"/>
      <w:pPr>
        <w:ind w:left="420" w:hanging="42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21CC4E8A"/>
    <w:multiLevelType w:val="multilevel"/>
    <w:tmpl w:val="21CC4E8A"/>
    <w:lvl w:ilvl="0" w:tentative="0">
      <w:start w:val="1"/>
      <w:numFmt w:val="decimal"/>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6">
    <w:nsid w:val="239847FC"/>
    <w:multiLevelType w:val="multilevel"/>
    <w:tmpl w:val="239847FC"/>
    <w:lvl w:ilvl="0" w:tentative="0">
      <w:start w:val="2"/>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r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47">
    <w:nsid w:val="23A63FDB"/>
    <w:multiLevelType w:val="multilevel"/>
    <w:tmpl w:val="23A63FDB"/>
    <w:lvl w:ilvl="0" w:tentative="0">
      <w:start w:val="1"/>
      <w:numFmt w:val="chineseCountingThousand"/>
      <w:lvlText w:val="(%1)"/>
      <w:lvlJc w:val="left"/>
      <w:pPr>
        <w:ind w:left="420" w:hanging="420"/>
      </w:pPr>
      <w:rPr>
        <w:rFonts w:asciiTheme="majorEastAsia" w:hAnsiTheme="majorEastAsia" w:eastAsiaTheme="maj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24714A5A"/>
    <w:multiLevelType w:val="multilevel"/>
    <w:tmpl w:val="24714A5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250D2173"/>
    <w:multiLevelType w:val="multilevel"/>
    <w:tmpl w:val="250D217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267A61ED"/>
    <w:multiLevelType w:val="multilevel"/>
    <w:tmpl w:val="267A61ED"/>
    <w:lvl w:ilvl="0" w:tentative="0">
      <w:start w:val="1"/>
      <w:numFmt w:val="decimal"/>
      <w:lvlText w:val="%1）"/>
      <w:lvlJc w:val="left"/>
      <w:pPr>
        <w:ind w:left="840" w:hanging="420"/>
      </w:pPr>
      <w:rPr>
        <w:rFonts w:hint="default"/>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1">
    <w:nsid w:val="27A7686C"/>
    <w:multiLevelType w:val="multilevel"/>
    <w:tmpl w:val="27A7686C"/>
    <w:lvl w:ilvl="0" w:tentative="0">
      <w:start w:val="1"/>
      <w:numFmt w:val="decimal"/>
      <w:lvlText w:val="%1)"/>
      <w:lvlJc w:val="left"/>
      <w:pPr>
        <w:ind w:left="420" w:hanging="42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286D0CD4"/>
    <w:multiLevelType w:val="multilevel"/>
    <w:tmpl w:val="286D0CD4"/>
    <w:lvl w:ilvl="0" w:tentative="0">
      <w:start w:val="1"/>
      <w:numFmt w:val="decimalEnclosedCircle"/>
      <w:lvlText w:val="%1"/>
      <w:lvlJc w:val="left"/>
      <w:pPr>
        <w:ind w:left="126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2A5E0B58"/>
    <w:multiLevelType w:val="multilevel"/>
    <w:tmpl w:val="2A5E0B58"/>
    <w:lvl w:ilvl="0" w:tentative="0">
      <w:start w:val="1"/>
      <w:numFmt w:val="chineseCountingThousand"/>
      <w:lvlText w:val="(%1)"/>
      <w:lvlJc w:val="left"/>
      <w:pPr>
        <w:tabs>
          <w:tab w:val="left" w:pos="425"/>
        </w:tabs>
        <w:ind w:left="425" w:hanging="425"/>
      </w:pPr>
      <w:rPr>
        <w:rFonts w:hint="eastAsia"/>
        <w:strike w:val="0"/>
      </w:rPr>
    </w:lvl>
    <w:lvl w:ilvl="1" w:tentative="0">
      <w:start w:val="1"/>
      <w:numFmt w:val="decimal"/>
      <w:lvlText w:val="%2."/>
      <w:lvlJc w:val="left"/>
      <w:pPr>
        <w:tabs>
          <w:tab w:val="left" w:pos="567"/>
        </w:tabs>
        <w:ind w:left="567" w:hanging="567"/>
      </w:pPr>
      <w:rPr>
        <w:rFonts w:hint="eastAsia"/>
        <w:b w:val="0"/>
        <w:strike w:val="0"/>
        <w:dstrike w:val="0"/>
        <w:sz w:val="24"/>
        <w:szCs w:val="24"/>
      </w:rPr>
    </w:lvl>
    <w:lvl w:ilvl="2" w:tentative="0">
      <w:start w:val="1"/>
      <w:numFmt w:val="decimal"/>
      <w:lvlText w:val="（%3)"/>
      <w:lvlJc w:val="left"/>
      <w:pPr>
        <w:tabs>
          <w:tab w:val="left" w:pos="567"/>
        </w:tabs>
        <w:ind w:left="567" w:hanging="567"/>
      </w:pPr>
      <w:rPr>
        <w:rFonts w:hint="eastAsia"/>
        <w:b w:val="0"/>
        <w:sz w:val="24"/>
        <w:szCs w:val="24"/>
      </w:rPr>
    </w:lvl>
    <w:lvl w:ilvl="3" w:tentative="0">
      <w:start w:val="1"/>
      <w:numFmt w:val="decimal"/>
      <w:lvlText w:val="（%4)"/>
      <w:lvlJc w:val="left"/>
      <w:pPr>
        <w:tabs>
          <w:tab w:val="left" w:pos="851"/>
        </w:tabs>
        <w:ind w:left="851" w:hanging="851"/>
      </w:pPr>
      <w:rPr>
        <w:rFonts w:hint="eastAsia"/>
        <w:dstrike w:val="0"/>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4">
    <w:nsid w:val="2C61436A"/>
    <w:multiLevelType w:val="multilevel"/>
    <w:tmpl w:val="2C6143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2CA85AD8"/>
    <w:multiLevelType w:val="multilevel"/>
    <w:tmpl w:val="2CA85AD8"/>
    <w:lvl w:ilvl="0" w:tentative="0">
      <w:start w:val="1"/>
      <w:numFmt w:val="decimal"/>
      <w:lvlText w:val="（%1）"/>
      <w:lvlJc w:val="left"/>
      <w:pPr>
        <w:ind w:left="987" w:hanging="420"/>
      </w:pPr>
      <w:rPr>
        <w:rFonts w:hint="eastAsia"/>
        <w:color w:val="auto"/>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2D23426E"/>
    <w:multiLevelType w:val="multilevel"/>
    <w:tmpl w:val="2D23426E"/>
    <w:lvl w:ilvl="0" w:tentative="0">
      <w:start w:val="1"/>
      <w:numFmt w:val="decimal"/>
      <w:lvlText w:val="%1."/>
      <w:lvlJc w:val="left"/>
      <w:pPr>
        <w:ind w:left="420" w:hanging="420"/>
      </w:pPr>
      <w:rPr>
        <w:rFonts w:hint="eastAsia" w:ascii="宋体" w:hAnsi="宋体" w:eastAsia="宋体"/>
        <w:b w:val="0"/>
        <w:sz w:val="24"/>
        <w:szCs w:val="24"/>
      </w:rPr>
    </w:lvl>
    <w:lvl w:ilvl="1" w:tentative="0">
      <w:start w:val="1"/>
      <w:numFmt w:val="lowerLetter"/>
      <w:lvlText w:val="%2)"/>
      <w:lvlJc w:val="left"/>
      <w:pPr>
        <w:ind w:left="556" w:hanging="420"/>
      </w:pPr>
    </w:lvl>
    <w:lvl w:ilvl="2" w:tentative="0">
      <w:start w:val="1"/>
      <w:numFmt w:val="lowerRoman"/>
      <w:lvlText w:val="%3."/>
      <w:lvlJc w:val="right"/>
      <w:pPr>
        <w:ind w:left="976" w:hanging="420"/>
      </w:pPr>
    </w:lvl>
    <w:lvl w:ilvl="3" w:tentative="0">
      <w:start w:val="1"/>
      <w:numFmt w:val="decimal"/>
      <w:lvlText w:val="%4."/>
      <w:lvlJc w:val="left"/>
      <w:pPr>
        <w:ind w:left="1396" w:hanging="420"/>
      </w:pPr>
    </w:lvl>
    <w:lvl w:ilvl="4" w:tentative="0">
      <w:start w:val="1"/>
      <w:numFmt w:val="lowerLetter"/>
      <w:lvlText w:val="%5)"/>
      <w:lvlJc w:val="left"/>
      <w:pPr>
        <w:ind w:left="1816" w:hanging="420"/>
      </w:pPr>
    </w:lvl>
    <w:lvl w:ilvl="5" w:tentative="0">
      <w:start w:val="1"/>
      <w:numFmt w:val="lowerRoman"/>
      <w:lvlText w:val="%6."/>
      <w:lvlJc w:val="right"/>
      <w:pPr>
        <w:ind w:left="2236" w:hanging="420"/>
      </w:pPr>
    </w:lvl>
    <w:lvl w:ilvl="6" w:tentative="0">
      <w:start w:val="1"/>
      <w:numFmt w:val="decimal"/>
      <w:lvlText w:val="%7."/>
      <w:lvlJc w:val="left"/>
      <w:pPr>
        <w:ind w:left="2656" w:hanging="420"/>
      </w:pPr>
    </w:lvl>
    <w:lvl w:ilvl="7" w:tentative="0">
      <w:start w:val="1"/>
      <w:numFmt w:val="lowerLetter"/>
      <w:lvlText w:val="%8)"/>
      <w:lvlJc w:val="left"/>
      <w:pPr>
        <w:ind w:left="3076" w:hanging="420"/>
      </w:pPr>
    </w:lvl>
    <w:lvl w:ilvl="8" w:tentative="0">
      <w:start w:val="1"/>
      <w:numFmt w:val="lowerRoman"/>
      <w:lvlText w:val="%9."/>
      <w:lvlJc w:val="right"/>
      <w:pPr>
        <w:ind w:left="3496" w:hanging="420"/>
      </w:pPr>
    </w:lvl>
  </w:abstractNum>
  <w:abstractNum w:abstractNumId="57">
    <w:nsid w:val="2FF6264E"/>
    <w:multiLevelType w:val="multilevel"/>
    <w:tmpl w:val="2FF6264E"/>
    <w:lvl w:ilvl="0" w:tentative="0">
      <w:start w:val="1"/>
      <w:numFmt w:val="chineseCountingThousand"/>
      <w:lvlText w:val="(%1)"/>
      <w:lvlJc w:val="left"/>
      <w:pPr>
        <w:ind w:left="425" w:hanging="425"/>
      </w:pPr>
      <w:rPr>
        <w:rFonts w:hint="eastAsia"/>
        <w:b w:val="0"/>
        <w:i w:val="0"/>
        <w:strike w:val="0"/>
        <w:color w:val="auto"/>
      </w:rPr>
    </w:lvl>
    <w:lvl w:ilvl="1" w:tentative="0">
      <w:start w:val="1"/>
      <w:numFmt w:val="decimal"/>
      <w:lvlText w:val="%2."/>
      <w:lvlJc w:val="left"/>
      <w:pPr>
        <w:ind w:left="567" w:hanging="567"/>
      </w:pPr>
      <w:rPr>
        <w:rFonts w:hint="eastAsia"/>
        <w:b w:val="0"/>
        <w:color w:val="auto"/>
      </w:rPr>
    </w:lvl>
    <w:lvl w:ilvl="2" w:tentative="0">
      <w:start w:val="1"/>
      <w:numFmt w:val="decimal"/>
      <w:lvlText w:val="%1.%2.%3."/>
      <w:lvlJc w:val="left"/>
      <w:pPr>
        <w:ind w:left="709" w:hanging="709"/>
      </w:pPr>
      <w:rPr>
        <w:rFonts w:hint="eastAsia" w:eastAsia="宋体" w:asciiTheme="minorEastAsia" w:hAnsiTheme="minor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58">
    <w:nsid w:val="30137680"/>
    <w:multiLevelType w:val="multilevel"/>
    <w:tmpl w:val="3013768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9">
    <w:nsid w:val="326454F5"/>
    <w:multiLevelType w:val="multilevel"/>
    <w:tmpl w:val="326454F5"/>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0">
    <w:nsid w:val="329C468C"/>
    <w:multiLevelType w:val="multilevel"/>
    <w:tmpl w:val="329C468C"/>
    <w:lvl w:ilvl="0" w:tentative="0">
      <w:start w:val="1"/>
      <w:numFmt w:val="decimal"/>
      <w:lvlText w:val="%1)"/>
      <w:lvlJc w:val="left"/>
      <w:pPr>
        <w:ind w:left="416" w:hanging="360"/>
      </w:pPr>
      <w:rPr>
        <w:rFonts w:hint="default"/>
      </w:rPr>
    </w:lvl>
    <w:lvl w:ilvl="1" w:tentative="0">
      <w:start w:val="1"/>
      <w:numFmt w:val="lowerLetter"/>
      <w:lvlText w:val="%2)"/>
      <w:lvlJc w:val="left"/>
      <w:pPr>
        <w:ind w:left="896" w:hanging="420"/>
      </w:pPr>
    </w:lvl>
    <w:lvl w:ilvl="2" w:tentative="0">
      <w:start w:val="1"/>
      <w:numFmt w:val="lowerRoman"/>
      <w:lvlText w:val="%3."/>
      <w:lvlJc w:val="right"/>
      <w:pPr>
        <w:ind w:left="1316" w:hanging="420"/>
      </w:pPr>
    </w:lvl>
    <w:lvl w:ilvl="3" w:tentative="0">
      <w:start w:val="1"/>
      <w:numFmt w:val="decimal"/>
      <w:lvlText w:val="%4."/>
      <w:lvlJc w:val="left"/>
      <w:pPr>
        <w:ind w:left="1736" w:hanging="420"/>
      </w:pPr>
    </w:lvl>
    <w:lvl w:ilvl="4" w:tentative="0">
      <w:start w:val="1"/>
      <w:numFmt w:val="lowerLetter"/>
      <w:lvlText w:val="%5)"/>
      <w:lvlJc w:val="left"/>
      <w:pPr>
        <w:ind w:left="2156" w:hanging="420"/>
      </w:pPr>
    </w:lvl>
    <w:lvl w:ilvl="5" w:tentative="0">
      <w:start w:val="1"/>
      <w:numFmt w:val="lowerRoman"/>
      <w:lvlText w:val="%6."/>
      <w:lvlJc w:val="right"/>
      <w:pPr>
        <w:ind w:left="2576" w:hanging="420"/>
      </w:pPr>
    </w:lvl>
    <w:lvl w:ilvl="6" w:tentative="0">
      <w:start w:val="1"/>
      <w:numFmt w:val="decimal"/>
      <w:lvlText w:val="%7."/>
      <w:lvlJc w:val="left"/>
      <w:pPr>
        <w:ind w:left="2996" w:hanging="420"/>
      </w:pPr>
    </w:lvl>
    <w:lvl w:ilvl="7" w:tentative="0">
      <w:start w:val="1"/>
      <w:numFmt w:val="lowerLetter"/>
      <w:lvlText w:val="%8)"/>
      <w:lvlJc w:val="left"/>
      <w:pPr>
        <w:ind w:left="3416" w:hanging="420"/>
      </w:pPr>
    </w:lvl>
    <w:lvl w:ilvl="8" w:tentative="0">
      <w:start w:val="1"/>
      <w:numFmt w:val="lowerRoman"/>
      <w:lvlText w:val="%9."/>
      <w:lvlJc w:val="right"/>
      <w:pPr>
        <w:ind w:left="3836" w:hanging="420"/>
      </w:pPr>
    </w:lvl>
  </w:abstractNum>
  <w:abstractNum w:abstractNumId="61">
    <w:nsid w:val="350534A8"/>
    <w:multiLevelType w:val="multilevel"/>
    <w:tmpl w:val="350534A8"/>
    <w:lvl w:ilvl="0" w:tentative="0">
      <w:start w:val="1"/>
      <w:numFmt w:val="decimal"/>
      <w:lvlText w:val="%1."/>
      <w:lvlJc w:val="left"/>
      <w:pPr>
        <w:ind w:left="840" w:hanging="420"/>
      </w:pPr>
      <w:rPr>
        <w:rFonts w:hint="eastAsia" w:ascii="宋体" w:hAnsi="宋体" w:eastAsia="宋体"/>
      </w:rPr>
    </w:lvl>
    <w:lvl w:ilvl="1" w:tentative="0">
      <w:start w:val="1"/>
      <w:numFmt w:val="decimal"/>
      <w:lvlText w:val="（%2)"/>
      <w:lvlJc w:val="left"/>
      <w:pPr>
        <w:ind w:left="42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2">
    <w:nsid w:val="357500A7"/>
    <w:multiLevelType w:val="multilevel"/>
    <w:tmpl w:val="357500A7"/>
    <w:lvl w:ilvl="0" w:tentative="0">
      <w:start w:val="1"/>
      <w:numFmt w:val="decimal"/>
      <w:lvlText w:val="（%1）"/>
      <w:lvlJc w:val="left"/>
      <w:pPr>
        <w:ind w:left="840" w:hanging="420"/>
      </w:pPr>
      <w:rPr>
        <w:rFonts w:hint="default" w:asciiTheme="minorEastAsia" w:hAnsiTheme="minorEastAsia" w:eastAsiaTheme="minorEastAsia"/>
        <w:b w:val="0"/>
      </w:rPr>
    </w:lvl>
    <w:lvl w:ilvl="1" w:tentative="0">
      <w:start w:val="1"/>
      <w:numFmt w:val="decimal"/>
      <w:lvlText w:val="%2)"/>
      <w:lvlJc w:val="left"/>
      <w:pPr>
        <w:ind w:left="420" w:hanging="42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3">
    <w:nsid w:val="36BA49F7"/>
    <w:multiLevelType w:val="multilevel"/>
    <w:tmpl w:val="36BA49F7"/>
    <w:lvl w:ilvl="0" w:tentative="0">
      <w:start w:val="1"/>
      <w:numFmt w:val="chineseCountingThousand"/>
      <w:lvlText w:val="(%1)"/>
      <w:lvlJc w:val="left"/>
      <w:pPr>
        <w:tabs>
          <w:tab w:val="left" w:pos="425"/>
        </w:tabs>
        <w:ind w:left="425" w:hanging="425"/>
      </w:pPr>
      <w:rPr>
        <w:rFonts w:hint="eastAsia"/>
        <w:strike w:val="0"/>
      </w:rPr>
    </w:lvl>
    <w:lvl w:ilvl="1" w:tentative="0">
      <w:start w:val="1"/>
      <w:numFmt w:val="decimal"/>
      <w:lvlText w:val="%2."/>
      <w:lvlJc w:val="left"/>
      <w:pPr>
        <w:tabs>
          <w:tab w:val="left" w:pos="567"/>
        </w:tabs>
        <w:ind w:left="567" w:hanging="567"/>
      </w:pPr>
      <w:rPr>
        <w:rFonts w:hint="eastAsia"/>
        <w:b w:val="0"/>
        <w:strike w:val="0"/>
        <w:dstrike w:val="0"/>
        <w:color w:val="auto"/>
        <w:sz w:val="24"/>
        <w:szCs w:val="24"/>
      </w:rPr>
    </w:lvl>
    <w:lvl w:ilvl="2" w:tentative="0">
      <w:start w:val="1"/>
      <w:numFmt w:val="decimal"/>
      <w:lvlText w:val="（%3)"/>
      <w:lvlJc w:val="left"/>
      <w:pPr>
        <w:tabs>
          <w:tab w:val="left" w:pos="567"/>
        </w:tabs>
        <w:ind w:left="567" w:hanging="567"/>
      </w:pPr>
      <w:rPr>
        <w:rFonts w:hint="eastAsia"/>
        <w:b w:val="0"/>
        <w:sz w:val="24"/>
        <w:szCs w:val="24"/>
      </w:rPr>
    </w:lvl>
    <w:lvl w:ilvl="3" w:tentative="0">
      <w:start w:val="1"/>
      <w:numFmt w:val="decimal"/>
      <w:lvlText w:val="（%4)"/>
      <w:lvlJc w:val="left"/>
      <w:pPr>
        <w:tabs>
          <w:tab w:val="left" w:pos="851"/>
        </w:tabs>
        <w:ind w:left="851" w:hanging="851"/>
      </w:pPr>
      <w:rPr>
        <w:rFonts w:hint="eastAsia"/>
        <w:dstrike w:val="0"/>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4">
    <w:nsid w:val="36D724EB"/>
    <w:multiLevelType w:val="multilevel"/>
    <w:tmpl w:val="36D724EB"/>
    <w:lvl w:ilvl="0" w:tentative="0">
      <w:start w:val="1"/>
      <w:numFmt w:val="decimal"/>
      <w:lvlText w:val="%1."/>
      <w:lvlJc w:val="left"/>
      <w:pPr>
        <w:ind w:left="420" w:hanging="420"/>
      </w:pPr>
      <w:rPr>
        <w:rFonts w:hint="eastAsia" w:ascii="宋体" w:hAnsi="宋体" w:eastAsia="宋体"/>
        <w:b w:val="0"/>
        <w:sz w:val="24"/>
        <w:szCs w:val="24"/>
      </w:rPr>
    </w:lvl>
    <w:lvl w:ilvl="1" w:tentative="0">
      <w:start w:val="1"/>
      <w:numFmt w:val="lowerLetter"/>
      <w:lvlText w:val="%2)"/>
      <w:lvlJc w:val="left"/>
      <w:pPr>
        <w:ind w:left="556" w:hanging="420"/>
      </w:pPr>
    </w:lvl>
    <w:lvl w:ilvl="2" w:tentative="0">
      <w:start w:val="1"/>
      <w:numFmt w:val="lowerRoman"/>
      <w:lvlText w:val="%3."/>
      <w:lvlJc w:val="right"/>
      <w:pPr>
        <w:ind w:left="976" w:hanging="420"/>
      </w:pPr>
    </w:lvl>
    <w:lvl w:ilvl="3" w:tentative="0">
      <w:start w:val="1"/>
      <w:numFmt w:val="decimal"/>
      <w:lvlText w:val="%4."/>
      <w:lvlJc w:val="left"/>
      <w:pPr>
        <w:ind w:left="1396" w:hanging="420"/>
      </w:pPr>
    </w:lvl>
    <w:lvl w:ilvl="4" w:tentative="0">
      <w:start w:val="1"/>
      <w:numFmt w:val="lowerLetter"/>
      <w:lvlText w:val="%5)"/>
      <w:lvlJc w:val="left"/>
      <w:pPr>
        <w:ind w:left="1816" w:hanging="420"/>
      </w:pPr>
    </w:lvl>
    <w:lvl w:ilvl="5" w:tentative="0">
      <w:start w:val="1"/>
      <w:numFmt w:val="lowerRoman"/>
      <w:lvlText w:val="%6."/>
      <w:lvlJc w:val="right"/>
      <w:pPr>
        <w:ind w:left="2236" w:hanging="420"/>
      </w:pPr>
    </w:lvl>
    <w:lvl w:ilvl="6" w:tentative="0">
      <w:start w:val="1"/>
      <w:numFmt w:val="decimal"/>
      <w:lvlText w:val="%7."/>
      <w:lvlJc w:val="left"/>
      <w:pPr>
        <w:ind w:left="2656" w:hanging="420"/>
      </w:pPr>
    </w:lvl>
    <w:lvl w:ilvl="7" w:tentative="0">
      <w:start w:val="1"/>
      <w:numFmt w:val="lowerLetter"/>
      <w:lvlText w:val="%8)"/>
      <w:lvlJc w:val="left"/>
      <w:pPr>
        <w:ind w:left="3076" w:hanging="420"/>
      </w:pPr>
    </w:lvl>
    <w:lvl w:ilvl="8" w:tentative="0">
      <w:start w:val="1"/>
      <w:numFmt w:val="lowerRoman"/>
      <w:lvlText w:val="%9."/>
      <w:lvlJc w:val="right"/>
      <w:pPr>
        <w:ind w:left="3496" w:hanging="420"/>
      </w:pPr>
    </w:lvl>
  </w:abstractNum>
  <w:abstractNum w:abstractNumId="65">
    <w:nsid w:val="385E2112"/>
    <w:multiLevelType w:val="multilevel"/>
    <w:tmpl w:val="385E211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6">
    <w:nsid w:val="395A7C38"/>
    <w:multiLevelType w:val="multilevel"/>
    <w:tmpl w:val="395A7C3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396A4823"/>
    <w:multiLevelType w:val="multilevel"/>
    <w:tmpl w:val="396A4823"/>
    <w:lvl w:ilvl="0" w:tentative="0">
      <w:start w:val="1"/>
      <w:numFmt w:val="decimal"/>
      <w:lvlText w:val="%1）"/>
      <w:lvlJc w:val="left"/>
      <w:pPr>
        <w:ind w:left="840" w:hanging="420"/>
      </w:pPr>
      <w:rPr>
        <w:rFonts w:hint="default"/>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8">
    <w:nsid w:val="39EA06C6"/>
    <w:multiLevelType w:val="multilevel"/>
    <w:tmpl w:val="39EA06C6"/>
    <w:lvl w:ilvl="0" w:tentative="0">
      <w:start w:val="1"/>
      <w:numFmt w:val="decimal"/>
      <w:lvlText w:val="%1."/>
      <w:lvlJc w:val="left"/>
      <w:pPr>
        <w:ind w:left="420" w:hanging="420"/>
      </w:pPr>
      <w:rPr>
        <w:rFonts w:hint="eastAsia" w:ascii="宋体" w:hAnsi="宋体" w:eastAsia="宋体"/>
        <w:b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9">
    <w:nsid w:val="3A7E365A"/>
    <w:multiLevelType w:val="multilevel"/>
    <w:tmpl w:val="3A7E365A"/>
    <w:lvl w:ilvl="0" w:tentative="0">
      <w:start w:val="1"/>
      <w:numFmt w:val="decimal"/>
      <w:lvlText w:val="%1、"/>
      <w:lvlJc w:val="left"/>
      <w:pPr>
        <w:ind w:left="416" w:hanging="360"/>
      </w:pPr>
      <w:rPr>
        <w:rFonts w:hint="default"/>
      </w:rPr>
    </w:lvl>
    <w:lvl w:ilvl="1" w:tentative="0">
      <w:start w:val="1"/>
      <w:numFmt w:val="lowerLetter"/>
      <w:lvlText w:val="%2)"/>
      <w:lvlJc w:val="left"/>
      <w:pPr>
        <w:ind w:left="896" w:hanging="420"/>
      </w:pPr>
    </w:lvl>
    <w:lvl w:ilvl="2" w:tentative="0">
      <w:start w:val="1"/>
      <w:numFmt w:val="lowerRoman"/>
      <w:lvlText w:val="%3."/>
      <w:lvlJc w:val="right"/>
      <w:pPr>
        <w:ind w:left="1316" w:hanging="420"/>
      </w:pPr>
    </w:lvl>
    <w:lvl w:ilvl="3" w:tentative="0">
      <w:start w:val="1"/>
      <w:numFmt w:val="decimal"/>
      <w:lvlText w:val="%4."/>
      <w:lvlJc w:val="left"/>
      <w:pPr>
        <w:ind w:left="1736" w:hanging="420"/>
      </w:pPr>
    </w:lvl>
    <w:lvl w:ilvl="4" w:tentative="0">
      <w:start w:val="1"/>
      <w:numFmt w:val="lowerLetter"/>
      <w:lvlText w:val="%5)"/>
      <w:lvlJc w:val="left"/>
      <w:pPr>
        <w:ind w:left="2156" w:hanging="420"/>
      </w:pPr>
    </w:lvl>
    <w:lvl w:ilvl="5" w:tentative="0">
      <w:start w:val="1"/>
      <w:numFmt w:val="lowerRoman"/>
      <w:lvlText w:val="%6."/>
      <w:lvlJc w:val="right"/>
      <w:pPr>
        <w:ind w:left="2576" w:hanging="420"/>
      </w:pPr>
    </w:lvl>
    <w:lvl w:ilvl="6" w:tentative="0">
      <w:start w:val="1"/>
      <w:numFmt w:val="decimal"/>
      <w:lvlText w:val="%7."/>
      <w:lvlJc w:val="left"/>
      <w:pPr>
        <w:ind w:left="2996" w:hanging="420"/>
      </w:pPr>
    </w:lvl>
    <w:lvl w:ilvl="7" w:tentative="0">
      <w:start w:val="1"/>
      <w:numFmt w:val="lowerLetter"/>
      <w:lvlText w:val="%8)"/>
      <w:lvlJc w:val="left"/>
      <w:pPr>
        <w:ind w:left="3416" w:hanging="420"/>
      </w:pPr>
    </w:lvl>
    <w:lvl w:ilvl="8" w:tentative="0">
      <w:start w:val="1"/>
      <w:numFmt w:val="lowerRoman"/>
      <w:lvlText w:val="%9."/>
      <w:lvlJc w:val="right"/>
      <w:pPr>
        <w:ind w:left="3836" w:hanging="420"/>
      </w:pPr>
    </w:lvl>
  </w:abstractNum>
  <w:abstractNum w:abstractNumId="70">
    <w:nsid w:val="3D28715E"/>
    <w:multiLevelType w:val="multilevel"/>
    <w:tmpl w:val="3D28715E"/>
    <w:lvl w:ilvl="0" w:tentative="0">
      <w:start w:val="1"/>
      <w:numFmt w:val="chineseCountingThousand"/>
      <w:lvlText w:val="(%1)"/>
      <w:lvlJc w:val="left"/>
      <w:pPr>
        <w:tabs>
          <w:tab w:val="left" w:pos="425"/>
        </w:tabs>
        <w:ind w:left="425" w:hanging="425"/>
      </w:pPr>
      <w:rPr>
        <w:rFonts w:hint="eastAsia"/>
        <w:strike w:val="0"/>
      </w:rPr>
    </w:lvl>
    <w:lvl w:ilvl="1" w:tentative="0">
      <w:start w:val="1"/>
      <w:numFmt w:val="decimal"/>
      <w:lvlText w:val="%2."/>
      <w:lvlJc w:val="left"/>
      <w:pPr>
        <w:tabs>
          <w:tab w:val="left" w:pos="567"/>
        </w:tabs>
        <w:ind w:left="567" w:hanging="567"/>
      </w:pPr>
      <w:rPr>
        <w:rFonts w:hint="eastAsia"/>
        <w:b w:val="0"/>
        <w:strike w:val="0"/>
        <w:dstrike w:val="0"/>
        <w:color w:val="auto"/>
        <w:sz w:val="24"/>
        <w:szCs w:val="24"/>
      </w:rPr>
    </w:lvl>
    <w:lvl w:ilvl="2" w:tentative="0">
      <w:start w:val="1"/>
      <w:numFmt w:val="decimal"/>
      <w:lvlText w:val="（%3)"/>
      <w:lvlJc w:val="left"/>
      <w:pPr>
        <w:tabs>
          <w:tab w:val="left" w:pos="567"/>
        </w:tabs>
        <w:ind w:left="567" w:hanging="567"/>
      </w:pPr>
      <w:rPr>
        <w:rFonts w:hint="eastAsia"/>
        <w:b w:val="0"/>
        <w:sz w:val="21"/>
        <w:szCs w:val="21"/>
      </w:rPr>
    </w:lvl>
    <w:lvl w:ilvl="3" w:tentative="0">
      <w:start w:val="1"/>
      <w:numFmt w:val="decimal"/>
      <w:lvlText w:val="（%4)"/>
      <w:lvlJc w:val="left"/>
      <w:pPr>
        <w:tabs>
          <w:tab w:val="left" w:pos="851"/>
        </w:tabs>
        <w:ind w:left="851" w:hanging="851"/>
      </w:pPr>
      <w:rPr>
        <w:rFonts w:hint="eastAsia"/>
        <w:dstrike w:val="0"/>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1">
    <w:nsid w:val="3D59B53A"/>
    <w:multiLevelType w:val="multilevel"/>
    <w:tmpl w:val="3D59B53A"/>
    <w:lvl w:ilvl="0" w:tentative="0">
      <w:start w:val="1"/>
      <w:numFmt w:val="decimal"/>
      <w:lvlText w:val="%1、"/>
      <w:lvlJc w:val="left"/>
      <w:pPr>
        <w:ind w:left="416" w:hanging="360"/>
      </w:pPr>
      <w:rPr>
        <w:rFonts w:hint="default"/>
      </w:rPr>
    </w:lvl>
    <w:lvl w:ilvl="1" w:tentative="0">
      <w:start w:val="1"/>
      <w:numFmt w:val="lowerLetter"/>
      <w:lvlText w:val="%2)"/>
      <w:lvlJc w:val="left"/>
      <w:pPr>
        <w:ind w:left="896" w:hanging="420"/>
      </w:pPr>
    </w:lvl>
    <w:lvl w:ilvl="2" w:tentative="0">
      <w:start w:val="1"/>
      <w:numFmt w:val="lowerRoman"/>
      <w:lvlText w:val="%3."/>
      <w:lvlJc w:val="right"/>
      <w:pPr>
        <w:ind w:left="1316" w:hanging="420"/>
      </w:pPr>
    </w:lvl>
    <w:lvl w:ilvl="3" w:tentative="0">
      <w:start w:val="1"/>
      <w:numFmt w:val="decimal"/>
      <w:lvlText w:val="%4."/>
      <w:lvlJc w:val="left"/>
      <w:pPr>
        <w:ind w:left="1736" w:hanging="420"/>
      </w:pPr>
    </w:lvl>
    <w:lvl w:ilvl="4" w:tentative="0">
      <w:start w:val="1"/>
      <w:numFmt w:val="lowerLetter"/>
      <w:lvlText w:val="%5)"/>
      <w:lvlJc w:val="left"/>
      <w:pPr>
        <w:ind w:left="2156" w:hanging="420"/>
      </w:pPr>
    </w:lvl>
    <w:lvl w:ilvl="5" w:tentative="0">
      <w:start w:val="1"/>
      <w:numFmt w:val="lowerRoman"/>
      <w:lvlText w:val="%6."/>
      <w:lvlJc w:val="right"/>
      <w:pPr>
        <w:ind w:left="2576" w:hanging="420"/>
      </w:pPr>
    </w:lvl>
    <w:lvl w:ilvl="6" w:tentative="0">
      <w:start w:val="1"/>
      <w:numFmt w:val="decimal"/>
      <w:lvlText w:val="%7."/>
      <w:lvlJc w:val="left"/>
      <w:pPr>
        <w:ind w:left="2996" w:hanging="420"/>
      </w:pPr>
    </w:lvl>
    <w:lvl w:ilvl="7" w:tentative="0">
      <w:start w:val="1"/>
      <w:numFmt w:val="lowerLetter"/>
      <w:lvlText w:val="%8)"/>
      <w:lvlJc w:val="left"/>
      <w:pPr>
        <w:ind w:left="3416" w:hanging="420"/>
      </w:pPr>
    </w:lvl>
    <w:lvl w:ilvl="8" w:tentative="0">
      <w:start w:val="1"/>
      <w:numFmt w:val="lowerRoman"/>
      <w:lvlText w:val="%9."/>
      <w:lvlJc w:val="right"/>
      <w:pPr>
        <w:ind w:left="3836" w:hanging="420"/>
      </w:pPr>
    </w:lvl>
  </w:abstractNum>
  <w:abstractNum w:abstractNumId="72">
    <w:nsid w:val="3F3470F5"/>
    <w:multiLevelType w:val="multilevel"/>
    <w:tmpl w:val="3F3470F5"/>
    <w:lvl w:ilvl="0" w:tentative="0">
      <w:start w:val="1"/>
      <w:numFmt w:val="decimal"/>
      <w:lvlText w:val="（%1）"/>
      <w:lvlJc w:val="left"/>
      <w:pPr>
        <w:ind w:left="84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40843B8C"/>
    <w:multiLevelType w:val="multilevel"/>
    <w:tmpl w:val="40843B8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4">
    <w:nsid w:val="4204F677"/>
    <w:multiLevelType w:val="multilevel"/>
    <w:tmpl w:val="4204F677"/>
    <w:lvl w:ilvl="0" w:tentative="0">
      <w:start w:val="1"/>
      <w:numFmt w:val="decimal"/>
      <w:lvlText w:val="%1、"/>
      <w:lvlJc w:val="left"/>
      <w:pPr>
        <w:ind w:left="420" w:hanging="42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5">
    <w:nsid w:val="422D7FD7"/>
    <w:multiLevelType w:val="multilevel"/>
    <w:tmpl w:val="422D7FD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6">
    <w:nsid w:val="42EB7BEF"/>
    <w:multiLevelType w:val="multilevel"/>
    <w:tmpl w:val="42EB7BEF"/>
    <w:lvl w:ilvl="0" w:tentative="0">
      <w:start w:val="1"/>
      <w:numFmt w:val="chineseCountingThousand"/>
      <w:lvlText w:val="(%1)"/>
      <w:lvlJc w:val="left"/>
      <w:pPr>
        <w:ind w:left="425" w:hanging="425"/>
      </w:pPr>
      <w:rPr>
        <w:color w:val="auto"/>
      </w:rPr>
    </w:lvl>
    <w:lvl w:ilvl="1" w:tentative="0">
      <w:start w:val="1"/>
      <w:numFmt w:val="decimal"/>
      <w:lvlText w:val="%2."/>
      <w:lvlJc w:val="left"/>
      <w:pPr>
        <w:ind w:left="567" w:hanging="567"/>
      </w:pPr>
      <w:rPr>
        <w:color w:val="auto"/>
      </w:rPr>
    </w:lvl>
    <w:lvl w:ilvl="2" w:tentative="0">
      <w:start w:val="1"/>
      <w:numFmt w:val="decimal"/>
      <w:lvlText w:val="%1.%2.%3."/>
      <w:lvlJc w:val="left"/>
      <w:pPr>
        <w:ind w:left="709" w:hanging="709"/>
      </w:pPr>
      <w:rPr>
        <w:rFonts w:asciiTheme="minorEastAsia" w:hAnsiTheme="minorEastAsia" w:eastAsiaTheme="minorEastAsia"/>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7">
    <w:nsid w:val="471E1367"/>
    <w:multiLevelType w:val="multilevel"/>
    <w:tmpl w:val="471E1367"/>
    <w:lvl w:ilvl="0" w:tentative="0">
      <w:start w:val="1"/>
      <w:numFmt w:val="decimal"/>
      <w:lvlText w:val="%1."/>
      <w:lvlJc w:val="left"/>
      <w:pPr>
        <w:ind w:left="420" w:hanging="420"/>
      </w:pPr>
      <w:rPr>
        <w:rFonts w:hint="eastAsia" w:ascii="宋体" w:hAnsi="宋体" w:eastAsia="宋体"/>
        <w:b w:val="0"/>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8">
    <w:nsid w:val="47FD6A98"/>
    <w:multiLevelType w:val="multilevel"/>
    <w:tmpl w:val="47FD6A98"/>
    <w:lvl w:ilvl="0" w:tentative="0">
      <w:start w:val="1"/>
      <w:numFmt w:val="decimal"/>
      <w:lvlText w:val="%1)"/>
      <w:lvlJc w:val="left"/>
      <w:pPr>
        <w:ind w:left="420" w:hanging="42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9">
    <w:nsid w:val="493E0147"/>
    <w:multiLevelType w:val="multilevel"/>
    <w:tmpl w:val="493E0147"/>
    <w:lvl w:ilvl="0" w:tentative="0">
      <w:start w:val="1"/>
      <w:numFmt w:val="decimal"/>
      <w:lvlText w:val="%1."/>
      <w:lvlJc w:val="left"/>
      <w:pPr>
        <w:ind w:left="346" w:hanging="420"/>
      </w:pPr>
    </w:lvl>
    <w:lvl w:ilvl="1" w:tentative="0">
      <w:start w:val="1"/>
      <w:numFmt w:val="lowerLetter"/>
      <w:lvlText w:val="%2)"/>
      <w:lvlJc w:val="left"/>
      <w:pPr>
        <w:ind w:left="766" w:hanging="420"/>
      </w:pPr>
    </w:lvl>
    <w:lvl w:ilvl="2" w:tentative="0">
      <w:start w:val="1"/>
      <w:numFmt w:val="lowerRoman"/>
      <w:lvlText w:val="%3."/>
      <w:lvlJc w:val="right"/>
      <w:pPr>
        <w:ind w:left="1186" w:hanging="420"/>
      </w:pPr>
    </w:lvl>
    <w:lvl w:ilvl="3" w:tentative="0">
      <w:start w:val="1"/>
      <w:numFmt w:val="decimal"/>
      <w:lvlText w:val="%4."/>
      <w:lvlJc w:val="left"/>
      <w:pPr>
        <w:ind w:left="1606" w:hanging="420"/>
      </w:pPr>
    </w:lvl>
    <w:lvl w:ilvl="4" w:tentative="0">
      <w:start w:val="1"/>
      <w:numFmt w:val="lowerLetter"/>
      <w:lvlText w:val="%5)"/>
      <w:lvlJc w:val="left"/>
      <w:pPr>
        <w:ind w:left="2026" w:hanging="420"/>
      </w:pPr>
    </w:lvl>
    <w:lvl w:ilvl="5" w:tentative="0">
      <w:start w:val="1"/>
      <w:numFmt w:val="lowerRoman"/>
      <w:lvlText w:val="%6."/>
      <w:lvlJc w:val="right"/>
      <w:pPr>
        <w:ind w:left="2446" w:hanging="420"/>
      </w:pPr>
    </w:lvl>
    <w:lvl w:ilvl="6" w:tentative="0">
      <w:start w:val="1"/>
      <w:numFmt w:val="decimal"/>
      <w:lvlText w:val="%7."/>
      <w:lvlJc w:val="left"/>
      <w:pPr>
        <w:ind w:left="2866" w:hanging="420"/>
      </w:pPr>
    </w:lvl>
    <w:lvl w:ilvl="7" w:tentative="0">
      <w:start w:val="1"/>
      <w:numFmt w:val="lowerLetter"/>
      <w:lvlText w:val="%8)"/>
      <w:lvlJc w:val="left"/>
      <w:pPr>
        <w:ind w:left="3286" w:hanging="420"/>
      </w:pPr>
    </w:lvl>
    <w:lvl w:ilvl="8" w:tentative="0">
      <w:start w:val="1"/>
      <w:numFmt w:val="lowerRoman"/>
      <w:lvlText w:val="%9."/>
      <w:lvlJc w:val="right"/>
      <w:pPr>
        <w:ind w:left="3706" w:hanging="420"/>
      </w:pPr>
    </w:lvl>
  </w:abstractNum>
  <w:abstractNum w:abstractNumId="80">
    <w:nsid w:val="494C7B73"/>
    <w:multiLevelType w:val="multilevel"/>
    <w:tmpl w:val="494C7B73"/>
    <w:lvl w:ilvl="0" w:tentative="0">
      <w:start w:val="1"/>
      <w:numFmt w:val="decimal"/>
      <w:suff w:val="space"/>
      <w:lvlText w:val="%1."/>
      <w:lvlJc w:val="left"/>
      <w:pPr>
        <w:ind w:left="420" w:hanging="420"/>
      </w:pPr>
      <w:rPr>
        <w:rFonts w:hint="eastAsia"/>
        <w:strike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1">
    <w:nsid w:val="4AF56A99"/>
    <w:multiLevelType w:val="multilevel"/>
    <w:tmpl w:val="4AF56A9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2">
    <w:nsid w:val="4BD16471"/>
    <w:multiLevelType w:val="multilevel"/>
    <w:tmpl w:val="4BD16471"/>
    <w:lvl w:ilvl="0" w:tentative="0">
      <w:start w:val="1"/>
      <w:numFmt w:val="chineseCountingThousand"/>
      <w:lvlText w:val="%1、"/>
      <w:lvlJc w:val="left"/>
      <w:pPr>
        <w:ind w:left="846" w:hanging="420"/>
      </w:pPr>
      <w:rPr>
        <w:color w:val="auto"/>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83">
    <w:nsid w:val="4BDA1C36"/>
    <w:multiLevelType w:val="multilevel"/>
    <w:tmpl w:val="4BDA1C36"/>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4">
    <w:nsid w:val="4C644CEE"/>
    <w:multiLevelType w:val="multilevel"/>
    <w:tmpl w:val="4C644CEE"/>
    <w:lvl w:ilvl="0" w:tentative="0">
      <w:start w:val="1"/>
      <w:numFmt w:val="decimalEnclosedCircle"/>
      <w:lvlText w:val="%1"/>
      <w:lvlJc w:val="left"/>
      <w:pPr>
        <w:ind w:left="126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5">
    <w:nsid w:val="4D3B24F7"/>
    <w:multiLevelType w:val="multilevel"/>
    <w:tmpl w:val="4D3B24F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6">
    <w:nsid w:val="4F9E30B7"/>
    <w:multiLevelType w:val="multilevel"/>
    <w:tmpl w:val="4F9E30B7"/>
    <w:lvl w:ilvl="0" w:tentative="0">
      <w:start w:val="1"/>
      <w:numFmt w:val="chineseCountingThousand"/>
      <w:lvlText w:val="(%1)"/>
      <w:lvlJc w:val="left"/>
      <w:pPr>
        <w:tabs>
          <w:tab w:val="left" w:pos="425"/>
        </w:tabs>
        <w:ind w:left="425" w:hanging="425"/>
      </w:pPr>
      <w:rPr>
        <w:b w:val="0"/>
        <w:color w:val="auto"/>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87">
    <w:nsid w:val="4FD95CF1"/>
    <w:multiLevelType w:val="multilevel"/>
    <w:tmpl w:val="4FD95CF1"/>
    <w:lvl w:ilvl="0" w:tentative="0">
      <w:start w:val="1"/>
      <w:numFmt w:val="chineseCountingThousand"/>
      <w:lvlText w:val="(%1)"/>
      <w:lvlJc w:val="left"/>
      <w:pPr>
        <w:ind w:left="425" w:hanging="425"/>
      </w:pPr>
      <w:rPr>
        <w:rFonts w:hint="eastAsia"/>
        <w:b w:val="0"/>
        <w:i w:val="0"/>
        <w:strike w:val="0"/>
        <w:color w:val="auto"/>
      </w:rPr>
    </w:lvl>
    <w:lvl w:ilvl="1" w:tentative="0">
      <w:start w:val="1"/>
      <w:numFmt w:val="decimal"/>
      <w:suff w:val="space"/>
      <w:lvlText w:val="%2."/>
      <w:lvlJc w:val="left"/>
      <w:pPr>
        <w:ind w:left="567" w:hanging="567"/>
      </w:pPr>
      <w:rPr>
        <w:rFonts w:hint="eastAsia"/>
        <w:b w:val="0"/>
        <w:color w:val="auto"/>
      </w:rPr>
    </w:lvl>
    <w:lvl w:ilvl="2" w:tentative="0">
      <w:start w:val="1"/>
      <w:numFmt w:val="decimal"/>
      <w:lvlText w:val="%1.%2.%3."/>
      <w:lvlJc w:val="left"/>
      <w:pPr>
        <w:ind w:left="709" w:hanging="709"/>
      </w:pPr>
      <w:rPr>
        <w:rFonts w:hint="eastAsia" w:ascii="宋体" w:hAnsi="宋体" w:eastAsia="宋体"/>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88">
    <w:nsid w:val="52001F10"/>
    <w:multiLevelType w:val="multilevel"/>
    <w:tmpl w:val="52001F10"/>
    <w:lvl w:ilvl="0" w:tentative="0">
      <w:start w:val="1"/>
      <w:numFmt w:val="decimal"/>
      <w:lvlText w:val="（%1)"/>
      <w:lvlJc w:val="left"/>
      <w:pPr>
        <w:ind w:left="420" w:hanging="420"/>
      </w:pPr>
      <w:rPr>
        <w:rFonts w:hint="eastAsia"/>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9">
    <w:nsid w:val="52F42418"/>
    <w:multiLevelType w:val="multilevel"/>
    <w:tmpl w:val="52F42418"/>
    <w:lvl w:ilvl="0" w:tentative="0">
      <w:start w:val="1"/>
      <w:numFmt w:val="chineseCountingThousand"/>
      <w:lvlText w:val="%1、"/>
      <w:lvlJc w:val="left"/>
      <w:pPr>
        <w:tabs>
          <w:tab w:val="left" w:pos="425"/>
        </w:tabs>
        <w:ind w:left="425" w:hanging="425"/>
      </w:pPr>
      <w:rPr>
        <w:rFonts w:hint="eastAsia"/>
        <w:b w:val="0"/>
        <w:strike w:val="0"/>
        <w:color w:val="auto"/>
        <w:lang w:val="en-US"/>
      </w:rPr>
    </w:lvl>
    <w:lvl w:ilvl="1" w:tentative="0">
      <w:start w:val="1"/>
      <w:numFmt w:val="decimal"/>
      <w:lvlText w:val="%1.%2"/>
      <w:lvlJc w:val="left"/>
      <w:pPr>
        <w:tabs>
          <w:tab w:val="left" w:pos="567"/>
        </w:tabs>
        <w:ind w:left="567" w:hanging="567"/>
      </w:pPr>
      <w:rPr>
        <w:rFonts w:hint="eastAsia" w:ascii="宋体" w:hAnsi="宋体" w:eastAsia="宋体"/>
        <w:b w:val="0"/>
        <w:color w:val="auto"/>
        <w:lang w:val="en-US"/>
      </w:rPr>
    </w:lvl>
    <w:lvl w:ilvl="2" w:tentative="0">
      <w:start w:val="1"/>
      <w:numFmt w:val="decimal"/>
      <w:lvlText w:val="%1.%2.%3"/>
      <w:lvlJc w:val="left"/>
      <w:pPr>
        <w:tabs>
          <w:tab w:val="left" w:pos="709"/>
        </w:tabs>
        <w:ind w:left="709" w:hanging="709"/>
      </w:pPr>
      <w:rPr>
        <w:rFonts w:hint="eastAsia" w:ascii="宋体" w:hAnsi="宋体" w:eastAsia="宋体"/>
        <w:color w:val="auto"/>
      </w:rPr>
    </w:lvl>
    <w:lvl w:ilvl="3" w:tentative="0">
      <w:start w:val="1"/>
      <w:numFmt w:val="decimal"/>
      <w:lvlText w:val="%1.%2.%3.%4."/>
      <w:lvlJc w:val="left"/>
      <w:pPr>
        <w:tabs>
          <w:tab w:val="left" w:pos="851"/>
        </w:tabs>
        <w:ind w:left="851" w:hanging="851"/>
      </w:pPr>
      <w:rPr>
        <w:rFonts w:hint="eastAsia" w:ascii="宋体" w:hAnsi="宋体" w:eastAsia="宋体"/>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90">
    <w:nsid w:val="530F27FF"/>
    <w:multiLevelType w:val="multilevel"/>
    <w:tmpl w:val="530F27FF"/>
    <w:lvl w:ilvl="0" w:tentative="0">
      <w:start w:val="1"/>
      <w:numFmt w:val="chineseCountingThousand"/>
      <w:lvlText w:val="(%1)"/>
      <w:lvlJc w:val="left"/>
      <w:pPr>
        <w:tabs>
          <w:tab w:val="left" w:pos="425"/>
        </w:tabs>
        <w:ind w:left="425" w:hanging="425"/>
      </w:pPr>
      <w:rPr>
        <w:rFonts w:hint="eastAsia"/>
        <w:strike w:val="0"/>
      </w:rPr>
    </w:lvl>
    <w:lvl w:ilvl="1" w:tentative="0">
      <w:start w:val="1"/>
      <w:numFmt w:val="decimal"/>
      <w:lvlText w:val="%2."/>
      <w:lvlJc w:val="left"/>
      <w:pPr>
        <w:tabs>
          <w:tab w:val="left" w:pos="567"/>
        </w:tabs>
        <w:ind w:left="567" w:hanging="567"/>
      </w:pPr>
      <w:rPr>
        <w:rFonts w:hint="eastAsia"/>
        <w:b w:val="0"/>
        <w:strike w:val="0"/>
        <w:dstrike w:val="0"/>
        <w:sz w:val="24"/>
        <w:szCs w:val="24"/>
      </w:rPr>
    </w:lvl>
    <w:lvl w:ilvl="2" w:tentative="0">
      <w:start w:val="1"/>
      <w:numFmt w:val="decimal"/>
      <w:lvlText w:val="（%3)"/>
      <w:lvlJc w:val="left"/>
      <w:pPr>
        <w:tabs>
          <w:tab w:val="left" w:pos="567"/>
        </w:tabs>
        <w:ind w:left="567" w:hanging="567"/>
      </w:pPr>
      <w:rPr>
        <w:rFonts w:hint="eastAsia"/>
        <w:b w:val="0"/>
        <w:sz w:val="24"/>
        <w:szCs w:val="24"/>
      </w:rPr>
    </w:lvl>
    <w:lvl w:ilvl="3" w:tentative="0">
      <w:start w:val="1"/>
      <w:numFmt w:val="decimal"/>
      <w:lvlText w:val="（%4)"/>
      <w:lvlJc w:val="left"/>
      <w:pPr>
        <w:tabs>
          <w:tab w:val="left" w:pos="851"/>
        </w:tabs>
        <w:ind w:left="851" w:hanging="851"/>
      </w:pPr>
      <w:rPr>
        <w:rFonts w:hint="eastAsia"/>
        <w:dstrike w:val="0"/>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91">
    <w:nsid w:val="53DF6434"/>
    <w:multiLevelType w:val="multilevel"/>
    <w:tmpl w:val="53DF6434"/>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2">
    <w:nsid w:val="54949A30"/>
    <w:multiLevelType w:val="singleLevel"/>
    <w:tmpl w:val="54949A30"/>
    <w:lvl w:ilvl="0" w:tentative="0">
      <w:start w:val="1"/>
      <w:numFmt w:val="decimal"/>
      <w:suff w:val="nothing"/>
      <w:lvlText w:val="%1、"/>
      <w:lvlJc w:val="left"/>
    </w:lvl>
  </w:abstractNum>
  <w:abstractNum w:abstractNumId="93">
    <w:nsid w:val="55C77B3D"/>
    <w:multiLevelType w:val="multilevel"/>
    <w:tmpl w:val="55C77B3D"/>
    <w:lvl w:ilvl="0" w:tentative="0">
      <w:start w:val="1"/>
      <w:numFmt w:val="decimal"/>
      <w:lvlText w:val="（%1）"/>
      <w:lvlJc w:val="left"/>
      <w:pPr>
        <w:ind w:left="840" w:hanging="420"/>
      </w:pPr>
      <w:rPr>
        <w:rFonts w:hint="default"/>
      </w:rPr>
    </w:lvl>
    <w:lvl w:ilvl="1" w:tentative="0">
      <w:start w:val="1"/>
      <w:numFmt w:val="decimal"/>
      <w:lvlText w:val="%2)"/>
      <w:lvlJc w:val="left"/>
      <w:pPr>
        <w:ind w:left="420" w:hanging="42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4">
    <w:nsid w:val="56BE0CC7"/>
    <w:multiLevelType w:val="multilevel"/>
    <w:tmpl w:val="56BE0CC7"/>
    <w:lvl w:ilvl="0" w:tentative="0">
      <w:start w:val="1"/>
      <w:numFmt w:val="decimal"/>
      <w:lvlText w:val="（%1）"/>
      <w:lvlJc w:val="left"/>
      <w:pPr>
        <w:ind w:left="420" w:hanging="4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5">
    <w:nsid w:val="57714C59"/>
    <w:multiLevelType w:val="multilevel"/>
    <w:tmpl w:val="57714C59"/>
    <w:lvl w:ilvl="0" w:tentative="0">
      <w:start w:val="1"/>
      <w:numFmt w:val="chineseCountingThousand"/>
      <w:lvlText w:val="(%1)"/>
      <w:lvlJc w:val="left"/>
      <w:pPr>
        <w:ind w:left="420" w:hanging="420"/>
      </w:pPr>
      <w:rPr>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6">
    <w:nsid w:val="598458E2"/>
    <w:multiLevelType w:val="multilevel"/>
    <w:tmpl w:val="598458E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7">
    <w:nsid w:val="59EC7344"/>
    <w:multiLevelType w:val="multilevel"/>
    <w:tmpl w:val="59EC7344"/>
    <w:lvl w:ilvl="0" w:tentative="0">
      <w:start w:val="1"/>
      <w:numFmt w:val="decimal"/>
      <w:lvlText w:val="%1."/>
      <w:lvlJc w:val="left"/>
      <w:pPr>
        <w:ind w:left="420" w:hanging="420"/>
      </w:pPr>
      <w:rPr>
        <w:rFonts w:hint="eastAsia" w:ascii="宋体" w:hAnsi="宋体" w:eastAsia="宋体"/>
        <w:b w:val="0"/>
        <w:sz w:val="24"/>
        <w:szCs w:val="24"/>
      </w:rPr>
    </w:lvl>
    <w:lvl w:ilvl="1" w:tentative="0">
      <w:start w:val="1"/>
      <w:numFmt w:val="lowerLetter"/>
      <w:lvlText w:val="%2)"/>
      <w:lvlJc w:val="left"/>
      <w:pPr>
        <w:ind w:left="556" w:hanging="420"/>
      </w:pPr>
    </w:lvl>
    <w:lvl w:ilvl="2" w:tentative="0">
      <w:start w:val="1"/>
      <w:numFmt w:val="lowerRoman"/>
      <w:lvlText w:val="%3."/>
      <w:lvlJc w:val="right"/>
      <w:pPr>
        <w:ind w:left="976" w:hanging="420"/>
      </w:pPr>
    </w:lvl>
    <w:lvl w:ilvl="3" w:tentative="0">
      <w:start w:val="1"/>
      <w:numFmt w:val="decimal"/>
      <w:lvlText w:val="%4."/>
      <w:lvlJc w:val="left"/>
      <w:pPr>
        <w:ind w:left="1396" w:hanging="420"/>
      </w:pPr>
    </w:lvl>
    <w:lvl w:ilvl="4" w:tentative="0">
      <w:start w:val="1"/>
      <w:numFmt w:val="lowerLetter"/>
      <w:lvlText w:val="%5)"/>
      <w:lvlJc w:val="left"/>
      <w:pPr>
        <w:ind w:left="1816" w:hanging="420"/>
      </w:pPr>
    </w:lvl>
    <w:lvl w:ilvl="5" w:tentative="0">
      <w:start w:val="1"/>
      <w:numFmt w:val="lowerRoman"/>
      <w:lvlText w:val="%6."/>
      <w:lvlJc w:val="right"/>
      <w:pPr>
        <w:ind w:left="2236" w:hanging="420"/>
      </w:pPr>
    </w:lvl>
    <w:lvl w:ilvl="6" w:tentative="0">
      <w:start w:val="1"/>
      <w:numFmt w:val="decimal"/>
      <w:lvlText w:val="%7."/>
      <w:lvlJc w:val="left"/>
      <w:pPr>
        <w:ind w:left="2656" w:hanging="420"/>
      </w:pPr>
    </w:lvl>
    <w:lvl w:ilvl="7" w:tentative="0">
      <w:start w:val="1"/>
      <w:numFmt w:val="lowerLetter"/>
      <w:lvlText w:val="%8)"/>
      <w:lvlJc w:val="left"/>
      <w:pPr>
        <w:ind w:left="3076" w:hanging="420"/>
      </w:pPr>
    </w:lvl>
    <w:lvl w:ilvl="8" w:tentative="0">
      <w:start w:val="1"/>
      <w:numFmt w:val="lowerRoman"/>
      <w:lvlText w:val="%9."/>
      <w:lvlJc w:val="right"/>
      <w:pPr>
        <w:ind w:left="3496" w:hanging="420"/>
      </w:pPr>
    </w:lvl>
  </w:abstractNum>
  <w:abstractNum w:abstractNumId="98">
    <w:nsid w:val="5FEB78A1"/>
    <w:multiLevelType w:val="multilevel"/>
    <w:tmpl w:val="5FEB78A1"/>
    <w:lvl w:ilvl="0" w:tentative="0">
      <w:start w:val="1"/>
      <w:numFmt w:val="decimal"/>
      <w:lvlText w:val="%1."/>
      <w:lvlJc w:val="left"/>
      <w:pPr>
        <w:ind w:left="420" w:hanging="420"/>
      </w:p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9">
    <w:nsid w:val="655D5E3E"/>
    <w:multiLevelType w:val="multilevel"/>
    <w:tmpl w:val="655D5E3E"/>
    <w:lvl w:ilvl="0" w:tentative="0">
      <w:start w:val="1"/>
      <w:numFmt w:val="decimal"/>
      <w:lvlText w:val="（%1)"/>
      <w:lvlJc w:val="left"/>
      <w:pPr>
        <w:ind w:left="420" w:hanging="420"/>
      </w:pPr>
      <w:rPr>
        <w:rFonts w:hint="eastAsia"/>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0">
    <w:nsid w:val="66B16FBA"/>
    <w:multiLevelType w:val="multilevel"/>
    <w:tmpl w:val="66B16FB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1">
    <w:nsid w:val="67BC6897"/>
    <w:multiLevelType w:val="multilevel"/>
    <w:tmpl w:val="67BC6897"/>
    <w:lvl w:ilvl="0" w:tentative="0">
      <w:start w:val="1"/>
      <w:numFmt w:val="chineseCountingThousand"/>
      <w:lvlText w:val="%1、"/>
      <w:lvlJc w:val="left"/>
      <w:pPr>
        <w:tabs>
          <w:tab w:val="left" w:pos="420"/>
        </w:tabs>
        <w:ind w:left="420" w:hanging="420"/>
      </w:pPr>
      <w:rPr>
        <w:b/>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102">
    <w:nsid w:val="694E041F"/>
    <w:multiLevelType w:val="singleLevel"/>
    <w:tmpl w:val="694E041F"/>
    <w:lvl w:ilvl="0" w:tentative="0">
      <w:start w:val="1"/>
      <w:numFmt w:val="decimal"/>
      <w:suff w:val="nothing"/>
      <w:lvlText w:val="%1、"/>
      <w:lvlJc w:val="left"/>
    </w:lvl>
  </w:abstractNum>
  <w:abstractNum w:abstractNumId="103">
    <w:nsid w:val="6A285912"/>
    <w:multiLevelType w:val="multilevel"/>
    <w:tmpl w:val="6A28591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4">
    <w:nsid w:val="6B2671B2"/>
    <w:multiLevelType w:val="multilevel"/>
    <w:tmpl w:val="6B2671B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5">
    <w:nsid w:val="6BF14F17"/>
    <w:multiLevelType w:val="multilevel"/>
    <w:tmpl w:val="6BF14F17"/>
    <w:lvl w:ilvl="0" w:tentative="0">
      <w:start w:val="1"/>
      <w:numFmt w:val="decimal"/>
      <w:lvlText w:val="%1、"/>
      <w:lvlJc w:val="left"/>
      <w:pPr>
        <w:ind w:left="420" w:hanging="42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6">
    <w:nsid w:val="6C210A81"/>
    <w:multiLevelType w:val="multilevel"/>
    <w:tmpl w:val="6C210A81"/>
    <w:lvl w:ilvl="0" w:tentative="0">
      <w:start w:val="1"/>
      <w:numFmt w:val="decimal"/>
      <w:lvlText w:val="（%1）"/>
      <w:lvlJc w:val="left"/>
      <w:pPr>
        <w:ind w:left="420" w:hanging="420"/>
      </w:pPr>
      <w:rPr>
        <w:rFonts w:hint="default"/>
        <w:color w:val="auto"/>
        <w:shd w:val="clear" w:color="auto" w:fil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7">
    <w:nsid w:val="6C73457C"/>
    <w:multiLevelType w:val="multilevel"/>
    <w:tmpl w:val="6C73457C"/>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8">
    <w:nsid w:val="6DE07A3A"/>
    <w:multiLevelType w:val="multilevel"/>
    <w:tmpl w:val="6DE07A3A"/>
    <w:lvl w:ilvl="0" w:tentative="0">
      <w:start w:val="1"/>
      <w:numFmt w:val="decimal"/>
      <w:lvlText w:val="%1、"/>
      <w:lvlJc w:val="left"/>
      <w:pPr>
        <w:ind w:left="780" w:hanging="360"/>
      </w:pPr>
      <w:rPr>
        <w:rFonts w:hint="default"/>
        <w:i w:val="0"/>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9">
    <w:nsid w:val="6E0347BF"/>
    <w:multiLevelType w:val="multilevel"/>
    <w:tmpl w:val="6E0347BF"/>
    <w:lvl w:ilvl="0" w:tentative="0">
      <w:start w:val="1"/>
      <w:numFmt w:val="chineseCountingThousand"/>
      <w:lvlText w:val="(%1)"/>
      <w:lvlJc w:val="left"/>
      <w:pPr>
        <w:tabs>
          <w:tab w:val="left" w:pos="425"/>
        </w:tabs>
        <w:ind w:left="425" w:hanging="425"/>
      </w:pPr>
      <w:rPr>
        <w:rFonts w:hint="eastAsia"/>
        <w:strike w:val="0"/>
      </w:rPr>
    </w:lvl>
    <w:lvl w:ilvl="1" w:tentative="0">
      <w:start w:val="1"/>
      <w:numFmt w:val="decimal"/>
      <w:lvlText w:val="%2."/>
      <w:lvlJc w:val="left"/>
      <w:pPr>
        <w:tabs>
          <w:tab w:val="left" w:pos="567"/>
        </w:tabs>
        <w:ind w:left="567" w:hanging="567"/>
      </w:pPr>
      <w:rPr>
        <w:rFonts w:hint="eastAsia"/>
        <w:b w:val="0"/>
        <w:strike w:val="0"/>
        <w:dstrike w:val="0"/>
        <w:sz w:val="24"/>
        <w:szCs w:val="24"/>
      </w:rPr>
    </w:lvl>
    <w:lvl w:ilvl="2" w:tentative="0">
      <w:start w:val="1"/>
      <w:numFmt w:val="decimal"/>
      <w:lvlText w:val="（%3)"/>
      <w:lvlJc w:val="left"/>
      <w:pPr>
        <w:tabs>
          <w:tab w:val="left" w:pos="567"/>
        </w:tabs>
        <w:ind w:left="567" w:hanging="567"/>
      </w:pPr>
      <w:rPr>
        <w:rFonts w:hint="eastAsia"/>
        <w:b w:val="0"/>
        <w:sz w:val="21"/>
        <w:szCs w:val="21"/>
      </w:rPr>
    </w:lvl>
    <w:lvl w:ilvl="3" w:tentative="0">
      <w:start w:val="1"/>
      <w:numFmt w:val="decimal"/>
      <w:lvlText w:val="（%4)"/>
      <w:lvlJc w:val="left"/>
      <w:pPr>
        <w:tabs>
          <w:tab w:val="left" w:pos="851"/>
        </w:tabs>
        <w:ind w:left="851" w:hanging="851"/>
      </w:pPr>
      <w:rPr>
        <w:rFonts w:hint="eastAsia"/>
        <w:dstrike w:val="0"/>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10">
    <w:nsid w:val="6E6F6101"/>
    <w:multiLevelType w:val="multilevel"/>
    <w:tmpl w:val="6E6F6101"/>
    <w:lvl w:ilvl="0" w:tentative="0">
      <w:start w:val="1"/>
      <w:numFmt w:val="decimal"/>
      <w:lvlText w:val="%1."/>
      <w:lvlJc w:val="left"/>
      <w:pPr>
        <w:ind w:left="420" w:hanging="420"/>
      </w:pPr>
      <w:rPr>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1">
    <w:nsid w:val="6F83D36E"/>
    <w:multiLevelType w:val="multilevel"/>
    <w:tmpl w:val="6F83D36E"/>
    <w:lvl w:ilvl="0" w:tentative="0">
      <w:start w:val="1"/>
      <w:numFmt w:val="decimal"/>
      <w:suff w:val="nothing"/>
      <w:lvlText w:val="%1、"/>
      <w:lvlJc w:val="left"/>
    </w:lvl>
    <w:lvl w:ilvl="1" w:tentative="0">
      <w:start w:val="1"/>
      <w:numFmt w:val="decimal"/>
      <w:suff w:val="space"/>
      <w:lvlText w:val="%2、"/>
      <w:lvlJc w:val="left"/>
      <w:pPr>
        <w:ind w:left="780" w:hanging="360"/>
      </w:pPr>
      <w:rPr>
        <w:rFonts w:hint="default"/>
        <w:b w:val="0"/>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12">
    <w:nsid w:val="71394BEA"/>
    <w:multiLevelType w:val="singleLevel"/>
    <w:tmpl w:val="71394BEA"/>
    <w:lvl w:ilvl="0" w:tentative="0">
      <w:start w:val="1"/>
      <w:numFmt w:val="decimal"/>
      <w:suff w:val="nothing"/>
      <w:lvlText w:val="%1、"/>
      <w:lvlJc w:val="left"/>
    </w:lvl>
  </w:abstractNum>
  <w:abstractNum w:abstractNumId="113">
    <w:nsid w:val="76832975"/>
    <w:multiLevelType w:val="singleLevel"/>
    <w:tmpl w:val="76832975"/>
    <w:lvl w:ilvl="0" w:tentative="0">
      <w:start w:val="1"/>
      <w:numFmt w:val="decimal"/>
      <w:suff w:val="nothing"/>
      <w:lvlText w:val="%1、"/>
      <w:lvlJc w:val="left"/>
    </w:lvl>
  </w:abstractNum>
  <w:abstractNum w:abstractNumId="114">
    <w:nsid w:val="76EAD8E2"/>
    <w:multiLevelType w:val="multilevel"/>
    <w:tmpl w:val="76EAD8E2"/>
    <w:lvl w:ilvl="0" w:tentative="0">
      <w:start w:val="1"/>
      <w:numFmt w:val="decimal"/>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5">
    <w:nsid w:val="78715BB6"/>
    <w:multiLevelType w:val="multilevel"/>
    <w:tmpl w:val="78715BB6"/>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6">
    <w:nsid w:val="78D54744"/>
    <w:multiLevelType w:val="multilevel"/>
    <w:tmpl w:val="78D54744"/>
    <w:lvl w:ilvl="0" w:tentative="0">
      <w:start w:val="1"/>
      <w:numFmt w:val="decimal"/>
      <w:lvlText w:val="%1."/>
      <w:lvlJc w:val="left"/>
      <w:pPr>
        <w:tabs>
          <w:tab w:val="left" w:pos="780"/>
        </w:tabs>
        <w:ind w:left="7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7">
    <w:nsid w:val="7A76442A"/>
    <w:multiLevelType w:val="multilevel"/>
    <w:tmpl w:val="7A76442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9"/>
  </w:num>
  <w:num w:numId="3">
    <w:abstractNumId w:val="35"/>
  </w:num>
  <w:num w:numId="4">
    <w:abstractNumId w:val="57"/>
  </w:num>
  <w:num w:numId="5">
    <w:abstractNumId w:val="76"/>
  </w:num>
  <w:num w:numId="6">
    <w:abstractNumId w:val="43"/>
  </w:num>
  <w:num w:numId="7">
    <w:abstractNumId w:val="87"/>
  </w:num>
  <w:num w:numId="8">
    <w:abstractNumId w:val="95"/>
  </w:num>
  <w:num w:numId="9">
    <w:abstractNumId w:val="108"/>
  </w:num>
  <w:num w:numId="10">
    <w:abstractNumId w:val="37"/>
  </w:num>
  <w:num w:numId="11">
    <w:abstractNumId w:val="17"/>
  </w:num>
  <w:num w:numId="12">
    <w:abstractNumId w:val="86"/>
  </w:num>
  <w:num w:numId="13">
    <w:abstractNumId w:val="29"/>
  </w:num>
  <w:num w:numId="14">
    <w:abstractNumId w:val="30"/>
  </w:num>
  <w:num w:numId="15">
    <w:abstractNumId w:val="45"/>
  </w:num>
  <w:num w:numId="16">
    <w:abstractNumId w:val="34"/>
  </w:num>
  <w:num w:numId="17">
    <w:abstractNumId w:val="22"/>
  </w:num>
  <w:num w:numId="18">
    <w:abstractNumId w:val="102"/>
  </w:num>
  <w:num w:numId="19">
    <w:abstractNumId w:val="36"/>
  </w:num>
  <w:num w:numId="20">
    <w:abstractNumId w:val="18"/>
  </w:num>
  <w:num w:numId="21">
    <w:abstractNumId w:val="96"/>
  </w:num>
  <w:num w:numId="22">
    <w:abstractNumId w:val="27"/>
  </w:num>
  <w:num w:numId="23">
    <w:abstractNumId w:val="115"/>
  </w:num>
  <w:num w:numId="24">
    <w:abstractNumId w:val="32"/>
  </w:num>
  <w:num w:numId="25">
    <w:abstractNumId w:val="42"/>
  </w:num>
  <w:num w:numId="26">
    <w:abstractNumId w:val="83"/>
  </w:num>
  <w:num w:numId="27">
    <w:abstractNumId w:val="107"/>
  </w:num>
  <w:num w:numId="28">
    <w:abstractNumId w:val="111"/>
  </w:num>
  <w:num w:numId="29">
    <w:abstractNumId w:val="58"/>
  </w:num>
  <w:num w:numId="30">
    <w:abstractNumId w:val="48"/>
  </w:num>
  <w:num w:numId="31">
    <w:abstractNumId w:val="8"/>
  </w:num>
  <w:num w:numId="32">
    <w:abstractNumId w:val="79"/>
  </w:num>
  <w:num w:numId="33">
    <w:abstractNumId w:val="69"/>
  </w:num>
  <w:num w:numId="34">
    <w:abstractNumId w:val="60"/>
  </w:num>
  <w:num w:numId="35">
    <w:abstractNumId w:val="65"/>
  </w:num>
  <w:num w:numId="36">
    <w:abstractNumId w:val="105"/>
  </w:num>
  <w:num w:numId="37">
    <w:abstractNumId w:val="7"/>
  </w:num>
  <w:num w:numId="38">
    <w:abstractNumId w:val="4"/>
  </w:num>
  <w:num w:numId="39">
    <w:abstractNumId w:val="15"/>
  </w:num>
  <w:num w:numId="40">
    <w:abstractNumId w:val="0"/>
  </w:num>
  <w:num w:numId="41">
    <w:abstractNumId w:val="113"/>
  </w:num>
  <w:num w:numId="42">
    <w:abstractNumId w:val="12"/>
  </w:num>
  <w:num w:numId="43">
    <w:abstractNumId w:val="71"/>
  </w:num>
  <w:num w:numId="44">
    <w:abstractNumId w:val="28"/>
  </w:num>
  <w:num w:numId="45">
    <w:abstractNumId w:val="2"/>
  </w:num>
  <w:num w:numId="46">
    <w:abstractNumId w:val="74"/>
  </w:num>
  <w:num w:numId="47">
    <w:abstractNumId w:val="19"/>
  </w:num>
  <w:num w:numId="48">
    <w:abstractNumId w:val="99"/>
  </w:num>
  <w:num w:numId="49">
    <w:abstractNumId w:val="88"/>
  </w:num>
  <w:num w:numId="50">
    <w:abstractNumId w:val="94"/>
  </w:num>
  <w:num w:numId="51">
    <w:abstractNumId w:val="75"/>
  </w:num>
  <w:num w:numId="52">
    <w:abstractNumId w:val="106"/>
  </w:num>
  <w:num w:numId="53">
    <w:abstractNumId w:val="55"/>
  </w:num>
  <w:num w:numId="54">
    <w:abstractNumId w:val="10"/>
  </w:num>
  <w:num w:numId="55">
    <w:abstractNumId w:val="6"/>
  </w:num>
  <w:num w:numId="56">
    <w:abstractNumId w:val="70"/>
  </w:num>
  <w:num w:numId="57">
    <w:abstractNumId w:val="63"/>
  </w:num>
  <w:num w:numId="58">
    <w:abstractNumId w:val="38"/>
  </w:num>
  <w:num w:numId="59">
    <w:abstractNumId w:val="67"/>
  </w:num>
  <w:num w:numId="60">
    <w:abstractNumId w:val="50"/>
  </w:num>
  <w:num w:numId="61">
    <w:abstractNumId w:val="109"/>
  </w:num>
  <w:num w:numId="62">
    <w:abstractNumId w:val="90"/>
  </w:num>
  <w:num w:numId="63">
    <w:abstractNumId w:val="61"/>
  </w:num>
  <w:num w:numId="64">
    <w:abstractNumId w:val="72"/>
  </w:num>
  <w:num w:numId="65">
    <w:abstractNumId w:val="93"/>
  </w:num>
  <w:num w:numId="66">
    <w:abstractNumId w:val="78"/>
  </w:num>
  <w:num w:numId="67">
    <w:abstractNumId w:val="62"/>
  </w:num>
  <w:num w:numId="68">
    <w:abstractNumId w:val="51"/>
  </w:num>
  <w:num w:numId="69">
    <w:abstractNumId w:val="52"/>
  </w:num>
  <w:num w:numId="70">
    <w:abstractNumId w:val="84"/>
  </w:num>
  <w:num w:numId="71">
    <w:abstractNumId w:val="20"/>
  </w:num>
  <w:num w:numId="72">
    <w:abstractNumId w:val="23"/>
  </w:num>
  <w:num w:numId="73">
    <w:abstractNumId w:val="68"/>
  </w:num>
  <w:num w:numId="74">
    <w:abstractNumId w:val="53"/>
  </w:num>
  <w:num w:numId="75">
    <w:abstractNumId w:val="73"/>
  </w:num>
  <w:num w:numId="76">
    <w:abstractNumId w:val="44"/>
  </w:num>
  <w:num w:numId="7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
  </w:num>
  <w:num w:numId="79">
    <w:abstractNumId w:val="114"/>
  </w:num>
  <w:num w:numId="80">
    <w:abstractNumId w:val="11"/>
  </w:num>
  <w:num w:numId="81">
    <w:abstractNumId w:val="3"/>
  </w:num>
  <w:num w:numId="82">
    <w:abstractNumId w:val="1"/>
  </w:num>
  <w:num w:numId="83">
    <w:abstractNumId w:val="92"/>
  </w:num>
  <w:num w:numId="84">
    <w:abstractNumId w:val="112"/>
  </w:num>
  <w:num w:numId="85">
    <w:abstractNumId w:val="104"/>
  </w:num>
  <w:num w:numId="86">
    <w:abstractNumId w:val="47"/>
  </w:num>
  <w:num w:numId="87">
    <w:abstractNumId w:val="117"/>
  </w:num>
  <w:num w:numId="88">
    <w:abstractNumId w:val="103"/>
  </w:num>
  <w:num w:numId="89">
    <w:abstractNumId w:val="39"/>
  </w:num>
  <w:num w:numId="90">
    <w:abstractNumId w:val="100"/>
  </w:num>
  <w:num w:numId="91">
    <w:abstractNumId w:val="80"/>
  </w:num>
  <w:num w:numId="92">
    <w:abstractNumId w:val="81"/>
  </w:num>
  <w:num w:numId="93">
    <w:abstractNumId w:val="97"/>
  </w:num>
  <w:num w:numId="94">
    <w:abstractNumId w:val="24"/>
  </w:num>
  <w:num w:numId="95">
    <w:abstractNumId w:val="5"/>
  </w:num>
  <w:num w:numId="96">
    <w:abstractNumId w:val="14"/>
  </w:num>
  <w:num w:numId="97">
    <w:abstractNumId w:val="54"/>
  </w:num>
  <w:num w:numId="98">
    <w:abstractNumId w:val="64"/>
  </w:num>
  <w:num w:numId="99">
    <w:abstractNumId w:val="56"/>
  </w:num>
  <w:num w:numId="100">
    <w:abstractNumId w:val="77"/>
  </w:num>
  <w:num w:numId="101">
    <w:abstractNumId w:val="46"/>
  </w:num>
  <w:num w:numId="102">
    <w:abstractNumId w:val="66"/>
  </w:num>
  <w:num w:numId="103">
    <w:abstractNumId w:val="13"/>
  </w:num>
  <w:num w:numId="104">
    <w:abstractNumId w:val="40"/>
  </w:num>
  <w:num w:numId="105">
    <w:abstractNumId w:val="82"/>
  </w:num>
  <w:num w:numId="106">
    <w:abstractNumId w:val="31"/>
  </w:num>
  <w:num w:numId="107">
    <w:abstractNumId w:val="41"/>
  </w:num>
  <w:num w:numId="108">
    <w:abstractNumId w:val="85"/>
  </w:num>
  <w:num w:numId="109">
    <w:abstractNumId w:val="116"/>
  </w:num>
  <w:num w:numId="110">
    <w:abstractNumId w:val="26"/>
  </w:num>
  <w:num w:numId="111">
    <w:abstractNumId w:val="49"/>
  </w:num>
  <w:num w:numId="112">
    <w:abstractNumId w:val="91"/>
  </w:num>
  <w:num w:numId="113">
    <w:abstractNumId w:val="33"/>
  </w:num>
  <w:num w:numId="114">
    <w:abstractNumId w:val="59"/>
  </w:num>
  <w:num w:numId="115">
    <w:abstractNumId w:val="98"/>
  </w:num>
  <w:num w:numId="116">
    <w:abstractNumId w:val="21"/>
  </w:num>
  <w:num w:numId="117">
    <w:abstractNumId w:val="110"/>
  </w:num>
  <w:num w:numId="11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89167E"/>
    <w:rsid w:val="000A7D42"/>
    <w:rsid w:val="001E2E31"/>
    <w:rsid w:val="001F5058"/>
    <w:rsid w:val="001F777B"/>
    <w:rsid w:val="00286D3E"/>
    <w:rsid w:val="002A5A1F"/>
    <w:rsid w:val="003401C3"/>
    <w:rsid w:val="00380307"/>
    <w:rsid w:val="00484F6B"/>
    <w:rsid w:val="0048724A"/>
    <w:rsid w:val="005D1B7A"/>
    <w:rsid w:val="00602CD8"/>
    <w:rsid w:val="00630C0F"/>
    <w:rsid w:val="006A5072"/>
    <w:rsid w:val="007133C0"/>
    <w:rsid w:val="0094713A"/>
    <w:rsid w:val="00963C6C"/>
    <w:rsid w:val="00971F73"/>
    <w:rsid w:val="00A10360"/>
    <w:rsid w:val="00A475D6"/>
    <w:rsid w:val="00A56DE6"/>
    <w:rsid w:val="00B30A79"/>
    <w:rsid w:val="00C72299"/>
    <w:rsid w:val="00CA0FC3"/>
    <w:rsid w:val="00EB3E0E"/>
    <w:rsid w:val="00F05974"/>
    <w:rsid w:val="012E7C9E"/>
    <w:rsid w:val="019226F5"/>
    <w:rsid w:val="01CB3C9E"/>
    <w:rsid w:val="03632DC7"/>
    <w:rsid w:val="03B5054C"/>
    <w:rsid w:val="03E9645C"/>
    <w:rsid w:val="049B3FFC"/>
    <w:rsid w:val="0982553F"/>
    <w:rsid w:val="0AE16D58"/>
    <w:rsid w:val="0BDB301C"/>
    <w:rsid w:val="0CF7609B"/>
    <w:rsid w:val="0FCA7CEC"/>
    <w:rsid w:val="113A5D63"/>
    <w:rsid w:val="14B738F1"/>
    <w:rsid w:val="177535F0"/>
    <w:rsid w:val="1916030D"/>
    <w:rsid w:val="1B102053"/>
    <w:rsid w:val="1D5D6F80"/>
    <w:rsid w:val="25850469"/>
    <w:rsid w:val="27375CF0"/>
    <w:rsid w:val="27D4217F"/>
    <w:rsid w:val="299E6F21"/>
    <w:rsid w:val="2C077C7B"/>
    <w:rsid w:val="301A72FB"/>
    <w:rsid w:val="350046C9"/>
    <w:rsid w:val="379C4415"/>
    <w:rsid w:val="3AE0231B"/>
    <w:rsid w:val="3C1B6580"/>
    <w:rsid w:val="40591A37"/>
    <w:rsid w:val="412478E6"/>
    <w:rsid w:val="412C539E"/>
    <w:rsid w:val="42262B7E"/>
    <w:rsid w:val="4521683A"/>
    <w:rsid w:val="49793A97"/>
    <w:rsid w:val="4A4C273B"/>
    <w:rsid w:val="4BA84FF2"/>
    <w:rsid w:val="4DAE7970"/>
    <w:rsid w:val="53917812"/>
    <w:rsid w:val="5589167E"/>
    <w:rsid w:val="587F6DD5"/>
    <w:rsid w:val="59600FD9"/>
    <w:rsid w:val="5BC4404C"/>
    <w:rsid w:val="5CDF6E4A"/>
    <w:rsid w:val="60533E3F"/>
    <w:rsid w:val="633463D0"/>
    <w:rsid w:val="634465E2"/>
    <w:rsid w:val="658718FD"/>
    <w:rsid w:val="6A3E2BAE"/>
    <w:rsid w:val="6ACD15F8"/>
    <w:rsid w:val="6AE67CD3"/>
    <w:rsid w:val="713816B5"/>
    <w:rsid w:val="71E97778"/>
    <w:rsid w:val="75590C0E"/>
    <w:rsid w:val="78753C3C"/>
    <w:rsid w:val="7DB735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jc w:val="both"/>
      <w:textAlignment w:val="baseline"/>
    </w:pPr>
    <w:rPr>
      <w:rFonts w:ascii="Times New Roman" w:hAnsi="Times New Roman" w:eastAsia="宋体" w:cs="Times New Roman"/>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b/>
      <w:sz w:val="27"/>
      <w:szCs w:val="27"/>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2"/>
    <w:uiPriority w:val="0"/>
    <w:rPr>
      <w:rFonts w:ascii="宋体"/>
      <w:sz w:val="18"/>
      <w:szCs w:val="18"/>
    </w:rPr>
  </w:style>
  <w:style w:type="paragraph" w:styleId="5">
    <w:name w:val="annotation text"/>
    <w:basedOn w:val="1"/>
    <w:link w:val="33"/>
    <w:qFormat/>
    <w:uiPriority w:val="0"/>
    <w:pPr>
      <w:jc w:val="left"/>
    </w:pPr>
  </w:style>
  <w:style w:type="paragraph" w:styleId="6">
    <w:name w:val="Body Text"/>
    <w:basedOn w:val="1"/>
    <w:qFormat/>
    <w:uiPriority w:val="0"/>
    <w:pPr>
      <w:spacing w:after="120"/>
    </w:pPr>
  </w:style>
  <w:style w:type="paragraph" w:styleId="7">
    <w:name w:val="toc 3"/>
    <w:basedOn w:val="1"/>
    <w:next w:val="1"/>
    <w:qFormat/>
    <w:uiPriority w:val="39"/>
    <w:pPr>
      <w:spacing w:before="120" w:after="120"/>
      <w:ind w:left="420"/>
      <w:jc w:val="left"/>
    </w:pPr>
    <w:rPr>
      <w:rFonts w:ascii="Calibri" w:hAnsi="Calibri" w:cs="Calibri"/>
      <w:iCs/>
      <w:szCs w:val="20"/>
    </w:rPr>
  </w:style>
  <w:style w:type="paragraph" w:styleId="8">
    <w:name w:val="Plain Text"/>
    <w:basedOn w:val="1"/>
    <w:qFormat/>
    <w:uiPriority w:val="0"/>
    <w:rPr>
      <w:rFonts w:ascii="宋体" w:hAnsi="Courier New" w:cs="Courier New" w:eastAsiaTheme="minorEastAsia"/>
      <w:szCs w:val="21"/>
    </w:rPr>
  </w:style>
  <w:style w:type="paragraph" w:styleId="9">
    <w:name w:val="Balloon Text"/>
    <w:basedOn w:val="1"/>
    <w:link w:val="31"/>
    <w:qFormat/>
    <w:uiPriority w:val="0"/>
    <w:pPr>
      <w:spacing w:line="240" w:lineRule="auto"/>
    </w:pPr>
    <w:rPr>
      <w:sz w:val="18"/>
      <w:szCs w:val="18"/>
    </w:rPr>
  </w:style>
  <w:style w:type="paragraph" w:styleId="10">
    <w:name w:val="footer"/>
    <w:basedOn w:val="1"/>
    <w:unhideWhenUsed/>
    <w:qFormat/>
    <w:uiPriority w:val="0"/>
    <w:pPr>
      <w:tabs>
        <w:tab w:val="center" w:pos="4153"/>
        <w:tab w:val="right" w:pos="8306"/>
      </w:tabs>
      <w:snapToGrid w:val="0"/>
      <w:jc w:val="left"/>
    </w:pPr>
    <w:rPr>
      <w:sz w:val="18"/>
      <w:szCs w:val="18"/>
    </w:rPr>
  </w:style>
  <w:style w:type="paragraph" w:styleId="11">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pPr>
      <w:spacing w:before="120" w:after="120"/>
      <w:jc w:val="left"/>
    </w:pPr>
    <w:rPr>
      <w:rFonts w:ascii="Calibri" w:hAnsi="Calibri" w:cs="Calibri"/>
      <w:b/>
      <w:bCs/>
      <w:caps/>
      <w:szCs w:val="20"/>
    </w:rPr>
  </w:style>
  <w:style w:type="paragraph" w:styleId="13">
    <w:name w:val="toc 2"/>
    <w:basedOn w:val="1"/>
    <w:next w:val="1"/>
    <w:qFormat/>
    <w:uiPriority w:val="39"/>
    <w:pPr>
      <w:spacing w:before="120" w:after="120"/>
      <w:ind w:left="210"/>
      <w:jc w:val="left"/>
    </w:pPr>
    <w:rPr>
      <w:rFonts w:ascii="Calibri" w:hAnsi="Calibri" w:cs="Calibri"/>
      <w:smallCaps/>
      <w:szCs w:val="20"/>
    </w:rPr>
  </w:style>
  <w:style w:type="paragraph" w:styleId="14">
    <w:name w:val="Normal (Web)"/>
    <w:basedOn w:val="1"/>
    <w:qFormat/>
    <w:uiPriority w:val="99"/>
    <w:pPr>
      <w:widowControl/>
      <w:spacing w:before="100" w:beforeAutospacing="1" w:after="100" w:afterAutospacing="1"/>
      <w:jc w:val="left"/>
    </w:pPr>
    <w:rPr>
      <w:rFonts w:ascii="宋体" w:hAnsi="宋体"/>
      <w:sz w:val="24"/>
    </w:rPr>
  </w:style>
  <w:style w:type="paragraph" w:styleId="15">
    <w:name w:val="annotation subject"/>
    <w:basedOn w:val="5"/>
    <w:next w:val="5"/>
    <w:link w:val="34"/>
    <w:qFormat/>
    <w:uiPriority w:val="0"/>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bCs/>
    </w:rPr>
  </w:style>
  <w:style w:type="character" w:styleId="20">
    <w:name w:val="page number"/>
    <w:basedOn w:val="18"/>
    <w:qFormat/>
    <w:uiPriority w:val="0"/>
  </w:style>
  <w:style w:type="character" w:styleId="21">
    <w:name w:val="Hyperlink"/>
    <w:qFormat/>
    <w:uiPriority w:val="99"/>
    <w:rPr>
      <w:rFonts w:eastAsia="宋体"/>
      <w:color w:val="0000FF"/>
      <w:sz w:val="28"/>
      <w:u w:val="single"/>
    </w:rPr>
  </w:style>
  <w:style w:type="character" w:styleId="22">
    <w:name w:val="annotation reference"/>
    <w:qFormat/>
    <w:uiPriority w:val="0"/>
    <w:rPr>
      <w:sz w:val="21"/>
      <w:szCs w:val="21"/>
    </w:rPr>
  </w:style>
  <w:style w:type="character" w:customStyle="1" w:styleId="23">
    <w:name w:val="p141"/>
    <w:qFormat/>
    <w:uiPriority w:val="0"/>
    <w:rPr>
      <w:sz w:val="21"/>
      <w:szCs w:val="21"/>
    </w:rPr>
  </w:style>
  <w:style w:type="paragraph" w:styleId="24">
    <w:name w:val="List Paragraph"/>
    <w:basedOn w:val="1"/>
    <w:qFormat/>
    <w:uiPriority w:val="34"/>
    <w:pPr>
      <w:ind w:firstLine="420" w:firstLineChars="200"/>
    </w:pPr>
  </w:style>
  <w:style w:type="paragraph" w:customStyle="1" w:styleId="25">
    <w:name w:val="样式4"/>
    <w:basedOn w:val="1"/>
    <w:qFormat/>
    <w:uiPriority w:val="0"/>
    <w:pPr>
      <w:tabs>
        <w:tab w:val="left" w:pos="2328"/>
      </w:tabs>
      <w:ind w:left="2328" w:hanging="708"/>
    </w:pPr>
  </w:style>
  <w:style w:type="paragraph" w:customStyle="1" w:styleId="26">
    <w:name w:val="图"/>
    <w:basedOn w:val="1"/>
    <w:qFormat/>
    <w:uiPriority w:val="0"/>
    <w:pPr>
      <w:keepNext/>
      <w:spacing w:before="60" w:after="60" w:line="300" w:lineRule="auto"/>
      <w:jc w:val="center"/>
      <w:textAlignment w:val="center"/>
    </w:pPr>
    <w:rPr>
      <w:snapToGrid w:val="0"/>
      <w:spacing w:val="20"/>
      <w:sz w:val="24"/>
      <w:szCs w:val="20"/>
    </w:rPr>
  </w:style>
  <w:style w:type="paragraph" w:customStyle="1" w:styleId="27">
    <w:name w:val="正文_0_0"/>
    <w:qFormat/>
    <w:uiPriority w:val="0"/>
    <w:pPr>
      <w:widowControl w:val="0"/>
      <w:adjustRightInd w:val="0"/>
      <w:spacing w:line="360" w:lineRule="auto"/>
      <w:ind w:firstLine="200" w:firstLineChars="200"/>
      <w:jc w:val="both"/>
      <w:textAlignment w:val="baseline"/>
    </w:pPr>
    <w:rPr>
      <w:rFonts w:ascii="Cambria Math" w:hAnsi="Cambria Math" w:eastAsia="宋体" w:cs="Times New Roman"/>
      <w:sz w:val="24"/>
      <w:szCs w:val="24"/>
      <w:lang w:val="en-US" w:eastAsia="zh-CN" w:bidi="ar-SA"/>
    </w:rPr>
  </w:style>
  <w:style w:type="character" w:customStyle="1" w:styleId="28">
    <w:name w:val="p141_0"/>
    <w:qFormat/>
    <w:uiPriority w:val="0"/>
    <w:rPr>
      <w:rFonts w:ascii="Calibri" w:hAnsi="Calibri"/>
      <w:sz w:val="21"/>
      <w:szCs w:val="21"/>
    </w:rPr>
  </w:style>
  <w:style w:type="paragraph" w:customStyle="1" w:styleId="29">
    <w:name w:val="Normal_13"/>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0">
    <w:name w:val="正文_14"/>
    <w:qFormat/>
    <w:uiPriority w:val="0"/>
    <w:pPr>
      <w:widowControl w:val="0"/>
      <w:adjustRightInd w:val="0"/>
      <w:spacing w:line="360" w:lineRule="atLeast"/>
      <w:jc w:val="both"/>
      <w:textAlignment w:val="baseline"/>
    </w:pPr>
    <w:rPr>
      <w:rFonts w:ascii="Times New Roman" w:hAnsi="Times New Roman" w:eastAsia="宋体" w:cs="Times New Roman"/>
      <w:szCs w:val="24"/>
      <w:lang w:val="en-US" w:eastAsia="zh-CN" w:bidi="ar-SA"/>
    </w:rPr>
  </w:style>
  <w:style w:type="character" w:customStyle="1" w:styleId="31">
    <w:name w:val="批注框文本 Char"/>
    <w:basedOn w:val="18"/>
    <w:link w:val="9"/>
    <w:qFormat/>
    <w:uiPriority w:val="0"/>
    <w:rPr>
      <w:sz w:val="18"/>
      <w:szCs w:val="18"/>
    </w:rPr>
  </w:style>
  <w:style w:type="character" w:customStyle="1" w:styleId="32">
    <w:name w:val="文档结构图 Char"/>
    <w:basedOn w:val="18"/>
    <w:link w:val="4"/>
    <w:qFormat/>
    <w:uiPriority w:val="0"/>
    <w:rPr>
      <w:rFonts w:ascii="宋体"/>
      <w:sz w:val="18"/>
      <w:szCs w:val="18"/>
    </w:rPr>
  </w:style>
  <w:style w:type="character" w:customStyle="1" w:styleId="33">
    <w:name w:val="批注文字 Char"/>
    <w:basedOn w:val="18"/>
    <w:link w:val="5"/>
    <w:qFormat/>
    <w:uiPriority w:val="0"/>
    <w:rPr>
      <w:szCs w:val="24"/>
    </w:rPr>
  </w:style>
  <w:style w:type="character" w:customStyle="1" w:styleId="34">
    <w:name w:val="批注主题 Char"/>
    <w:basedOn w:val="33"/>
    <w:link w:val="1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86</Pages>
  <Words>7642</Words>
  <Characters>43561</Characters>
  <Lines>363</Lines>
  <Paragraphs>102</Paragraphs>
  <TotalTime>3</TotalTime>
  <ScaleCrop>false</ScaleCrop>
  <LinksUpToDate>false</LinksUpToDate>
  <CharactersWithSpaces>51101</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2020-04-21T08:59:00Z</dcterms:created>
  <dc:creator>采联-xjx</dc:creator>
  <cp:lastModifiedBy>采联-xjx</cp:lastModifiedBy>
  <dcterms:modified xsi:type="dcterms:W3CDTF">2020-04-24T07:57:36Z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